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20, 2026</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iPower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8"/>
              </w:rPr>
              <w:t>Nevada</w:t>
            </w:r>
          </w:p>
        </w:tc>
        <w:tc>
          <w:tcPr>
            <w:tcW w:w="436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9"/>
              </w:rPr>
              <w:t>001-40391</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9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82-5144171</w:t>
            </w:r>
          </w:p>
        </w:tc>
      </w:tr>
      <w:tr>
        <w:trPr>
          <w:trHeight w:val="191"/>
        </w:trPr>
        <w:tc>
          <w:tcPr>
            <w:tcW w:w="3080" w:type="dxa"/>
            <w:vAlign w:val="bottom"/>
            <w:tcBorders>
              <w:top w:val="single" w:sz="8" w:color="auto"/>
            </w:tcBorders>
          </w:tcPr>
          <w:p>
            <w:pPr>
              <w:jc w:val="center"/>
              <w:ind w:left="45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tcPr>
          <w:p>
            <w:pPr>
              <w:jc w:val="center"/>
              <w:ind w:right="57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9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8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9"/>
              </w:rPr>
              <w:t>8798 9th Street</w:t>
            </w:r>
          </w:p>
        </w:tc>
        <w:tc>
          <w:tcPr>
            <w:tcW w:w="292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w w:val="99"/>
              </w:rPr>
              <w:t>Rancho Cucamonga, CA 91730</w:t>
            </w:r>
          </w:p>
        </w:tc>
        <w:tc>
          <w:tcPr>
            <w:tcW w:w="292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700" w:type="dxa"/>
            <w:vAlign w:val="bottom"/>
            <w:gridSpan w:val="4"/>
          </w:tcPr>
          <w:p>
            <w:pPr>
              <w:jc w:val="center"/>
              <w:ind w:right="6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292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4360" w:type="dxa"/>
            <w:vAlign w:val="bottom"/>
            <w:gridSpan w:val="3"/>
          </w:tcPr>
          <w:p>
            <w:pPr>
              <w:jc w:val="right"/>
              <w:ind w:right="1170"/>
              <w:spacing w:after="0"/>
              <w:rPr>
                <w:sz w:val="20"/>
                <w:szCs w:val="20"/>
                <w:color w:val="auto"/>
              </w:rPr>
            </w:pPr>
            <w:r>
              <w:rPr>
                <w:rFonts w:ascii="Times New Roman" w:cs="Times New Roman" w:eastAsia="Times New Roman" w:hAnsi="Times New Roman"/>
                <w:sz w:val="18"/>
                <w:szCs w:val="18"/>
                <w:color w:val="auto"/>
              </w:rPr>
              <w:t>(626) 863-7344</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700" w:type="dxa"/>
            <w:vAlign w:val="bottom"/>
            <w:gridSpan w:val="4"/>
          </w:tcPr>
          <w:p>
            <w:pPr>
              <w:jc w:val="center"/>
              <w:ind w:right="7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92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436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52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292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IPW</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May 20, 2026, iPower Inc., a Nevada corporation (the “Company”), issued a press release announcing its earnings for its third quarter ended March 31, 2026. A copy of the press release is attached hereto and incorporated herein by reference.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Item 2.02, including Exhibit 99.1, shall not be deemed “filed” for purposes of Section 18 of the Securities Exchange Act of 1934, as amended (the “Exchange Act”), or otherwise subject to the liabilities of that section, and is not incorporated by reference into any filing of the Company, whether made before or after the date hereof, regardless of any general language in such filing, unless it is specifically identified therein as being incorporated therein by reference.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30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 and Exhibits.</w:t>
            </w:r>
          </w:p>
        </w:tc>
      </w:tr>
      <w:tr>
        <w:trPr>
          <w:trHeight w:val="43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91"/>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5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5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Press Release, dated May 20, 2026</w:t>
            </w:r>
          </w:p>
        </w:tc>
      </w:tr>
    </w:tbl>
    <w:p>
      <w:pPr>
        <w:spacing w:after="0" w:line="9" w:lineRule="exact"/>
        <w:rPr>
          <w:sz w:val="20"/>
          <w:szCs w:val="20"/>
          <w:color w:val="auto"/>
        </w:rPr>
      </w:pPr>
    </w:p>
    <w:p>
      <w:pPr>
        <w:ind w:left="1560" w:hanging="1552"/>
        <w:spacing w:after="0"/>
        <w:tabs>
          <w:tab w:leader="none" w:pos="1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5"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IPOWER,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20, 2026</w:t>
      </w:r>
    </w:p>
    <w:p>
      <w:pPr>
        <w:spacing w:after="0" w:line="9" w:lineRule="exact"/>
        <w:rPr>
          <w:sz w:val="20"/>
          <w:szCs w:val="20"/>
          <w:color w:val="auto"/>
        </w:rPr>
      </w:pPr>
    </w:p>
    <w:p>
      <w:pPr>
        <w:ind w:left="5640"/>
        <w:spacing w:after="0"/>
        <w:tabs>
          <w:tab w:leader="none" w:pos="6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5715</wp:posOffset>
            </wp:positionV>
            <wp:extent cx="31375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5640"/>
        <w:spacing w:after="0"/>
        <w:tabs>
          <w:tab w:leader="none" w:pos="62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Chenlong Tan</w:t>
      </w:r>
    </w:p>
    <w:p>
      <w:pPr>
        <w:spacing w:after="0" w:line="23" w:lineRule="exact"/>
        <w:rPr>
          <w:sz w:val="20"/>
          <w:szCs w:val="20"/>
          <w:color w:val="auto"/>
        </w:rPr>
      </w:pPr>
    </w:p>
    <w:p>
      <w:pPr>
        <w:ind w:left="5640"/>
        <w:spacing w:after="0"/>
        <w:tabs>
          <w:tab w:leader="none" w:pos="62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34" w:lineRule="exact"/>
        <w:rPr>
          <w:sz w:val="20"/>
          <w:szCs w:val="20"/>
          <w:color w:val="auto"/>
        </w:rPr>
      </w:pPr>
    </w:p>
    <w:p>
      <w:pPr>
        <w:jc w:val="center"/>
        <w:spacing w:after="0" w:line="246" w:lineRule="auto"/>
        <w:rPr>
          <w:sz w:val="20"/>
          <w:szCs w:val="20"/>
          <w:color w:val="auto"/>
        </w:rPr>
      </w:pPr>
      <w:r>
        <w:rPr>
          <w:rFonts w:ascii="Times New Roman" w:cs="Times New Roman" w:eastAsia="Times New Roman" w:hAnsi="Times New Roman"/>
          <w:sz w:val="22"/>
          <w:szCs w:val="22"/>
          <w:b w:val="1"/>
          <w:bCs w:val="1"/>
          <w:color w:val="auto"/>
        </w:rPr>
        <w:t>iPower Reports Fiscal Third Quarter 2026 Results Highlighted by Lower Operating Cost Structure, Narrowed Non-GAAP Loss and Advancing AI Infrastructure Strategy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 declined 66% sequentially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GAAP net loss primarily reflected non-cash goodwill impairment; non-GAAP net loss narrowed to $0.3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strengthens platform through asset-light operations, contracted sublease income and recently launched AI infrastructure strategy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RANCHO CUCAMONGA, Calif., May 20, 2026 — iPower Inc. (Nasdaq: IPW) (“iPower” or the “Company”), a technology- and data-driven company operating at the intersection of supply chain, infrastructure and digital assets, today reported financial results for its fiscal third quarter ended March 31, 2026.</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Fiscal third quarter results reflected continued progress in iPower’s strategic operating reset following the divestiture of Global Product Marketing Inc. and the Company’s transition toward a leaner, more asset-light operating model.</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For the fiscal third quarter of 2026, revenue from continuing operations was </w:t>
      </w:r>
      <w:r>
        <w:rPr>
          <w:rFonts w:ascii="Times New Roman" w:cs="Times New Roman" w:eastAsia="Times New Roman" w:hAnsi="Times New Roman"/>
          <w:sz w:val="18"/>
          <w:szCs w:val="18"/>
          <w:b w:val="1"/>
          <w:bCs w:val="1"/>
          <w:color w:val="auto"/>
        </w:rPr>
        <w:t>$3.5 million</w:t>
      </w:r>
      <w:r>
        <w:rPr>
          <w:rFonts w:ascii="Times New Roman" w:cs="Times New Roman" w:eastAsia="Times New Roman" w:hAnsi="Times New Roman"/>
          <w:sz w:val="18"/>
          <w:szCs w:val="18"/>
          <w:color w:val="auto"/>
        </w:rPr>
        <w:t xml:space="preserve">, gross profit was </w:t>
      </w:r>
      <w:r>
        <w:rPr>
          <w:rFonts w:ascii="Times New Roman" w:cs="Times New Roman" w:eastAsia="Times New Roman" w:hAnsi="Times New Roman"/>
          <w:sz w:val="18"/>
          <w:szCs w:val="18"/>
          <w:b w:val="1"/>
          <w:bCs w:val="1"/>
          <w:color w:val="auto"/>
        </w:rPr>
        <w:t>$0.8 million</w:t>
      </w:r>
      <w:r>
        <w:rPr>
          <w:rFonts w:ascii="Times New Roman" w:cs="Times New Roman" w:eastAsia="Times New Roman" w:hAnsi="Times New Roman"/>
          <w:sz w:val="18"/>
          <w:szCs w:val="18"/>
          <w:color w:val="auto"/>
        </w:rPr>
        <w:t xml:space="preserve">, and gross margin was </w:t>
      </w:r>
      <w:r>
        <w:rPr>
          <w:rFonts w:ascii="Times New Roman" w:cs="Times New Roman" w:eastAsia="Times New Roman" w:hAnsi="Times New Roman"/>
          <w:sz w:val="18"/>
          <w:szCs w:val="18"/>
          <w:b w:val="1"/>
          <w:bCs w:val="1"/>
          <w:color w:val="auto"/>
        </w:rPr>
        <w:t>21.6%</w:t>
      </w:r>
      <w:r>
        <w:rPr>
          <w:rFonts w:ascii="Times New Roman" w:cs="Times New Roman" w:eastAsia="Times New Roman" w:hAnsi="Times New Roman"/>
          <w:sz w:val="18"/>
          <w:szCs w:val="18"/>
          <w:color w:val="auto"/>
        </w:rPr>
        <w:t xml:space="preserve">. Total operating expenses declined to </w:t>
      </w:r>
      <w:r>
        <w:rPr>
          <w:rFonts w:ascii="Times New Roman" w:cs="Times New Roman" w:eastAsia="Times New Roman" w:hAnsi="Times New Roman"/>
          <w:sz w:val="18"/>
          <w:szCs w:val="18"/>
          <w:b w:val="1"/>
          <w:bCs w:val="1"/>
          <w:color w:val="auto"/>
        </w:rPr>
        <w:t>$1.9 million</w:t>
      </w:r>
      <w:r>
        <w:rPr>
          <w:rFonts w:ascii="Times New Roman" w:cs="Times New Roman" w:eastAsia="Times New Roman" w:hAnsi="Times New Roman"/>
          <w:sz w:val="18"/>
          <w:szCs w:val="18"/>
          <w:color w:val="auto"/>
        </w:rPr>
        <w:t xml:space="preserve">, compared with </w:t>
      </w:r>
      <w:r>
        <w:rPr>
          <w:rFonts w:ascii="Times New Roman" w:cs="Times New Roman" w:eastAsia="Times New Roman" w:hAnsi="Times New Roman"/>
          <w:sz w:val="18"/>
          <w:szCs w:val="18"/>
          <w:b w:val="1"/>
          <w:bCs w:val="1"/>
          <w:color w:val="auto"/>
        </w:rPr>
        <w:t>$5.6 million</w:t>
      </w:r>
      <w:r>
        <w:rPr>
          <w:rFonts w:ascii="Times New Roman" w:cs="Times New Roman" w:eastAsia="Times New Roman" w:hAnsi="Times New Roman"/>
          <w:sz w:val="18"/>
          <w:szCs w:val="18"/>
          <w:color w:val="auto"/>
        </w:rPr>
        <w:t xml:space="preserve"> in the fiscal second quarter of 2026 and </w:t>
      </w:r>
      <w:r>
        <w:rPr>
          <w:rFonts w:ascii="Times New Roman" w:cs="Times New Roman" w:eastAsia="Times New Roman" w:hAnsi="Times New Roman"/>
          <w:sz w:val="18"/>
          <w:szCs w:val="18"/>
          <w:b w:val="1"/>
          <w:bCs w:val="1"/>
          <w:color w:val="auto"/>
        </w:rPr>
        <w:t>$7.2 million</w:t>
      </w:r>
      <w:r>
        <w:rPr>
          <w:rFonts w:ascii="Times New Roman" w:cs="Times New Roman" w:eastAsia="Times New Roman" w:hAnsi="Times New Roman"/>
          <w:sz w:val="18"/>
          <w:szCs w:val="18"/>
          <w:color w:val="auto"/>
        </w:rPr>
        <w:t xml:space="preserve"> in the prior-year quarter.</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GAAP net loss attributable to iPower was </w:t>
      </w:r>
      <w:r>
        <w:rPr>
          <w:rFonts w:ascii="Times New Roman" w:cs="Times New Roman" w:eastAsia="Times New Roman" w:hAnsi="Times New Roman"/>
          <w:sz w:val="18"/>
          <w:szCs w:val="18"/>
          <w:b w:val="1"/>
          <w:bCs w:val="1"/>
          <w:color w:val="auto"/>
        </w:rPr>
        <w:t>$(3.5) million</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$(2.38) per basic share for the quarter</w:t>
      </w:r>
      <w:r>
        <w:rPr>
          <w:rFonts w:ascii="Times New Roman" w:cs="Times New Roman" w:eastAsia="Times New Roman" w:hAnsi="Times New Roman"/>
          <w:sz w:val="18"/>
          <w:szCs w:val="18"/>
          <w:color w:val="auto"/>
        </w:rPr>
        <w:t xml:space="preserve">. The GAAP net loss was primarily driven by a </w:t>
      </w:r>
      <w:r>
        <w:rPr>
          <w:rFonts w:ascii="Times New Roman" w:cs="Times New Roman" w:eastAsia="Times New Roman" w:hAnsi="Times New Roman"/>
          <w:sz w:val="18"/>
          <w:szCs w:val="18"/>
          <w:b w:val="1"/>
          <w:bCs w:val="1"/>
          <w:color w:val="auto"/>
        </w:rPr>
        <w:t>$3.0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million non-cash goodwill impairment</w:t>
      </w:r>
      <w:r>
        <w:rPr>
          <w:rFonts w:ascii="Times New Roman" w:cs="Times New Roman" w:eastAsia="Times New Roman" w:hAnsi="Times New Roman"/>
          <w:sz w:val="18"/>
          <w:szCs w:val="18"/>
          <w:color w:val="auto"/>
        </w:rPr>
        <w:t>, which fully eliminated the Company’s remaining goodwill balance. The impairment did not impact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Company’s cash position or operating cash flows. Excluding this impairment and other non-cash or non-operating items, non-GAAP net loss attributable to iPower was </w:t>
      </w:r>
      <w:r>
        <w:rPr>
          <w:rFonts w:ascii="Times New Roman" w:cs="Times New Roman" w:eastAsia="Times New Roman" w:hAnsi="Times New Roman"/>
          <w:sz w:val="18"/>
          <w:szCs w:val="18"/>
          <w:b w:val="1"/>
          <w:bCs w:val="1"/>
          <w:color w:val="auto"/>
        </w:rPr>
        <w:t>$(0.3) million</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$(0.18) per share</w:t>
      </w:r>
      <w:r>
        <w:rPr>
          <w:rFonts w:ascii="Times New Roman" w:cs="Times New Roman" w:eastAsia="Times New Roman" w:hAnsi="Times New Roman"/>
          <w:sz w:val="18"/>
          <w:szCs w:val="18"/>
          <w:color w:val="auto"/>
        </w:rPr>
        <w:t xml:space="preserve">, compared with non-GAAP net loss of </w:t>
      </w:r>
      <w:r>
        <w:rPr>
          <w:rFonts w:ascii="Times New Roman" w:cs="Times New Roman" w:eastAsia="Times New Roman" w:hAnsi="Times New Roman"/>
          <w:sz w:val="18"/>
          <w:szCs w:val="18"/>
          <w:b w:val="1"/>
          <w:bCs w:val="1"/>
          <w:color w:val="auto"/>
        </w:rPr>
        <w:t>$(0.7) million</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$(0.70) per share</w:t>
      </w:r>
      <w:r>
        <w:rPr>
          <w:rFonts w:ascii="Times New Roman" w:cs="Times New Roman" w:eastAsia="Times New Roman" w:hAnsi="Times New Roman"/>
          <w:sz w:val="18"/>
          <w:szCs w:val="18"/>
          <w:color w:val="auto"/>
        </w:rPr>
        <w:t>, in the prior-year quarter.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“Fiscal Q3 demonstrates that our operating reset is taking hold,” said Lawrence Tan, Chief Executive Officer of iPower. “We significantly reduced our operating cost structure, improved working-capital discipline, and narrowed our non-GAAP loss, despite a smaller revenue base during this transition period. Importantly, the goodwill impairment recorded in the quarter was non-cash and cleared the remaining goodwill from our balance sheet.”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Tan continued, “We are building iPower into a more efficient and financially flexible platform. Our strategy is focused on lower fixed costs, higher-quality revenue opportunities, and disciplined capital allocation into areas where we see long-term value creation. Following quarter end, we strengthened this strategy through contracted sublease income and the launch of our AI infrastructure strategy, which is intended to position iPower as a capital provider for GPU clusters and AI infrastructure assets.”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As of March 31, 2026, iPower had </w:t>
      </w:r>
      <w:r>
        <w:rPr>
          <w:rFonts w:ascii="Times New Roman" w:cs="Times New Roman" w:eastAsia="Times New Roman" w:hAnsi="Times New Roman"/>
          <w:sz w:val="18"/>
          <w:szCs w:val="18"/>
          <w:b w:val="1"/>
          <w:bCs w:val="1"/>
          <w:color w:val="auto"/>
        </w:rPr>
        <w:t>$14.5 million</w:t>
      </w:r>
      <w:r>
        <w:rPr>
          <w:rFonts w:ascii="Times New Roman" w:cs="Times New Roman" w:eastAsia="Times New Roman" w:hAnsi="Times New Roman"/>
          <w:sz w:val="18"/>
          <w:szCs w:val="18"/>
          <w:color w:val="auto"/>
        </w:rPr>
        <w:t xml:space="preserve"> of current assets and </w:t>
      </w:r>
      <w:r>
        <w:rPr>
          <w:rFonts w:ascii="Times New Roman" w:cs="Times New Roman" w:eastAsia="Times New Roman" w:hAnsi="Times New Roman"/>
          <w:sz w:val="18"/>
          <w:szCs w:val="18"/>
          <w:b w:val="1"/>
          <w:bCs w:val="1"/>
          <w:color w:val="auto"/>
        </w:rPr>
        <w:t>$6.6 million</w:t>
      </w:r>
      <w:r>
        <w:rPr>
          <w:rFonts w:ascii="Times New Roman" w:cs="Times New Roman" w:eastAsia="Times New Roman" w:hAnsi="Times New Roman"/>
          <w:sz w:val="18"/>
          <w:szCs w:val="18"/>
          <w:color w:val="auto"/>
        </w:rPr>
        <w:t xml:space="preserve"> of current liabilities, resulting in a current ratio of approximately </w:t>
      </w:r>
      <w:r>
        <w:rPr>
          <w:rFonts w:ascii="Times New Roman" w:cs="Times New Roman" w:eastAsia="Times New Roman" w:hAnsi="Times New Roman"/>
          <w:sz w:val="18"/>
          <w:szCs w:val="18"/>
          <w:b w:val="1"/>
          <w:bCs w:val="1"/>
          <w:color w:val="auto"/>
        </w:rPr>
        <w:t>2.2x</w:t>
      </w:r>
      <w:r>
        <w:rPr>
          <w:rFonts w:ascii="Times New Roman" w:cs="Times New Roman" w:eastAsia="Times New Roman" w:hAnsi="Times New Roman"/>
          <w:sz w:val="18"/>
          <w:szCs w:val="18"/>
          <w:color w:val="auto"/>
        </w:rPr>
        <w:t xml:space="preserve">. Current liabilities decreased approximately </w:t>
      </w:r>
      <w:r>
        <w:rPr>
          <w:rFonts w:ascii="Times New Roman" w:cs="Times New Roman" w:eastAsia="Times New Roman" w:hAnsi="Times New Roman"/>
          <w:sz w:val="18"/>
          <w:szCs w:val="18"/>
          <w:b w:val="1"/>
          <w:bCs w:val="1"/>
          <w:color w:val="auto"/>
        </w:rPr>
        <w:t>54%</w:t>
      </w:r>
      <w:r>
        <w:rPr>
          <w:rFonts w:ascii="Times New Roman" w:cs="Times New Roman" w:eastAsia="Times New Roman" w:hAnsi="Times New Roman"/>
          <w:sz w:val="18"/>
          <w:szCs w:val="18"/>
          <w:color w:val="auto"/>
        </w:rPr>
        <w:t xml:space="preserve"> from </w:t>
      </w:r>
      <w:r>
        <w:rPr>
          <w:rFonts w:ascii="Times New Roman" w:cs="Times New Roman" w:eastAsia="Times New Roman" w:hAnsi="Times New Roman"/>
          <w:sz w:val="18"/>
          <w:szCs w:val="18"/>
          <w:b w:val="1"/>
          <w:bCs w:val="1"/>
          <w:color w:val="auto"/>
        </w:rPr>
        <w:t>$14.5 million</w:t>
      </w:r>
      <w:r>
        <w:rPr>
          <w:rFonts w:ascii="Times New Roman" w:cs="Times New Roman" w:eastAsia="Times New Roman" w:hAnsi="Times New Roman"/>
          <w:sz w:val="18"/>
          <w:szCs w:val="18"/>
          <w:color w:val="auto"/>
        </w:rPr>
        <w:t xml:space="preserve"> at June 30, 2025. Accounts payable declined to </w:t>
      </w:r>
      <w:r>
        <w:rPr>
          <w:rFonts w:ascii="Times New Roman" w:cs="Times New Roman" w:eastAsia="Times New Roman" w:hAnsi="Times New Roman"/>
          <w:sz w:val="18"/>
          <w:szCs w:val="18"/>
          <w:b w:val="1"/>
          <w:bCs w:val="1"/>
          <w:color w:val="auto"/>
        </w:rPr>
        <w:t>$3.0 million</w:t>
      </w:r>
      <w:r>
        <w:rPr>
          <w:rFonts w:ascii="Times New Roman" w:cs="Times New Roman" w:eastAsia="Times New Roman" w:hAnsi="Times New Roman"/>
          <w:sz w:val="18"/>
          <w:szCs w:val="18"/>
          <w:color w:val="auto"/>
        </w:rPr>
        <w:t xml:space="preserve"> from </w:t>
      </w:r>
      <w:r>
        <w:rPr>
          <w:rFonts w:ascii="Times New Roman" w:cs="Times New Roman" w:eastAsia="Times New Roman" w:hAnsi="Times New Roman"/>
          <w:sz w:val="18"/>
          <w:szCs w:val="18"/>
          <w:b w:val="1"/>
          <w:bCs w:val="1"/>
          <w:color w:val="auto"/>
        </w:rPr>
        <w:t>$7.2 million</w:t>
      </w:r>
      <w:r>
        <w:rPr>
          <w:rFonts w:ascii="Times New Roman" w:cs="Times New Roman" w:eastAsia="Times New Roman" w:hAnsi="Times New Roman"/>
          <w:sz w:val="18"/>
          <w:szCs w:val="18"/>
          <w:color w:val="auto"/>
        </w:rPr>
        <w:t xml:space="preserve"> at June 30, 2025, while inventory declined to </w:t>
      </w:r>
      <w:r>
        <w:rPr>
          <w:rFonts w:ascii="Times New Roman" w:cs="Times New Roman" w:eastAsia="Times New Roman" w:hAnsi="Times New Roman"/>
          <w:sz w:val="18"/>
          <w:szCs w:val="18"/>
          <w:b w:val="1"/>
          <w:bCs w:val="1"/>
          <w:color w:val="auto"/>
        </w:rPr>
        <w:t>$2.5 million</w:t>
      </w:r>
      <w:r>
        <w:rPr>
          <w:rFonts w:ascii="Times New Roman" w:cs="Times New Roman" w:eastAsia="Times New Roman" w:hAnsi="Times New Roman"/>
          <w:sz w:val="18"/>
          <w:szCs w:val="18"/>
          <w:color w:val="auto"/>
        </w:rPr>
        <w:t xml:space="preserve"> from </w:t>
      </w:r>
      <w:r>
        <w:rPr>
          <w:rFonts w:ascii="Times New Roman" w:cs="Times New Roman" w:eastAsia="Times New Roman" w:hAnsi="Times New Roman"/>
          <w:sz w:val="18"/>
          <w:szCs w:val="18"/>
          <w:b w:val="1"/>
          <w:bCs w:val="1"/>
          <w:color w:val="auto"/>
        </w:rPr>
        <w:t>$8.1 million</w:t>
      </w:r>
      <w:r>
        <w:rPr>
          <w:rFonts w:ascii="Times New Roman" w:cs="Times New Roman" w:eastAsia="Times New Roman" w:hAnsi="Times New Roman"/>
          <w:sz w:val="18"/>
          <w:szCs w:val="18"/>
          <w:color w:val="auto"/>
        </w:rPr>
        <w:t>, reflecting the Company’s leaner operating model.</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Subsequent to quarter end, iPower entered into a sublease agreement for a portion of its Rancho Cucamonga facility, expected to generate more than </w:t>
      </w:r>
      <w:r>
        <w:rPr>
          <w:rFonts w:ascii="Times New Roman" w:cs="Times New Roman" w:eastAsia="Times New Roman" w:hAnsi="Times New Roman"/>
          <w:sz w:val="18"/>
          <w:szCs w:val="18"/>
          <w:b w:val="1"/>
          <w:bCs w:val="1"/>
          <w:color w:val="auto"/>
        </w:rPr>
        <w:t>$2.6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million </w:t>
      </w:r>
      <w:r>
        <w:rPr>
          <w:rFonts w:ascii="Times New Roman" w:cs="Times New Roman" w:eastAsia="Times New Roman" w:hAnsi="Times New Roman"/>
          <w:sz w:val="18"/>
          <w:szCs w:val="18"/>
          <w:color w:val="auto"/>
        </w:rPr>
        <w:t>of contracted, non-dilutive income through May 2028. The Company also launched its AI infrastructure strategy, initially utilizing a portion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existing </w:t>
      </w:r>
      <w:r>
        <w:rPr>
          <w:rFonts w:ascii="Times New Roman" w:cs="Times New Roman" w:eastAsia="Times New Roman" w:hAnsi="Times New Roman"/>
          <w:sz w:val="18"/>
          <w:szCs w:val="18"/>
          <w:b w:val="1"/>
          <w:bCs w:val="1"/>
          <w:color w:val="auto"/>
        </w:rPr>
        <w:t>$30 million</w:t>
      </w:r>
      <w:r>
        <w:rPr>
          <w:rFonts w:ascii="Times New Roman" w:cs="Times New Roman" w:eastAsia="Times New Roman" w:hAnsi="Times New Roman"/>
          <w:sz w:val="18"/>
          <w:szCs w:val="18"/>
          <w:color w:val="auto"/>
        </w:rPr>
        <w:t xml:space="preserve"> financing facility to pursue investments across the AI infrastructure stack, including an initial commitment of up to </w:t>
      </w:r>
      <w:r>
        <w:rPr>
          <w:rFonts w:ascii="Times New Roman" w:cs="Times New Roman" w:eastAsia="Times New Roman" w:hAnsi="Times New Roman"/>
          <w:sz w:val="18"/>
          <w:szCs w:val="18"/>
          <w:b w:val="1"/>
          <w:bCs w:val="1"/>
          <w:color w:val="auto"/>
        </w:rPr>
        <w:t>$3 million</w:t>
      </w:r>
      <w:r>
        <w:rPr>
          <w:rFonts w:ascii="Times New Roman" w:cs="Times New Roman" w:eastAsia="Times New Roman" w:hAnsi="Times New Roman"/>
          <w:sz w:val="18"/>
          <w:szCs w:val="18"/>
          <w:color w:val="auto"/>
        </w:rPr>
        <w:t xml:space="preserve"> to purchase sUSDai, a yield-bearing instrument backed by GPU-collateralized loans. The Company believes these initiatives enhance financial flexibility and support its transition toward a more scalable platform.</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Third Quarter 2026 Highlights</w:t>
            </w:r>
          </w:p>
        </w:tc>
        <w:tc>
          <w:tcPr>
            <w:tcW w:w="162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59"/>
        </w:trPr>
        <w:tc>
          <w:tcPr>
            <w:tcW w:w="3260" w:type="dxa"/>
            <w:vAlign w:val="bottom"/>
          </w:tcPr>
          <w:p>
            <w:pPr>
              <w:ind w:left="1460"/>
              <w:spacing w:after="0"/>
              <w:rPr>
                <w:sz w:val="20"/>
                <w:szCs w:val="20"/>
                <w:color w:val="auto"/>
              </w:rPr>
            </w:pPr>
            <w:r>
              <w:rPr>
                <w:rFonts w:ascii="Times New Roman" w:cs="Times New Roman" w:eastAsia="Times New Roman" w:hAnsi="Times New Roman"/>
                <w:sz w:val="18"/>
                <w:szCs w:val="18"/>
                <w:b w:val="1"/>
                <w:bCs w:val="1"/>
                <w:color w:val="auto"/>
              </w:rPr>
              <w:t>Metric</w:t>
            </w:r>
          </w:p>
        </w:tc>
        <w:tc>
          <w:tcPr>
            <w:tcW w:w="16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Fiscal Q3 2026</w:t>
            </w:r>
          </w:p>
        </w:tc>
        <w:tc>
          <w:tcPr>
            <w:tcW w:w="3920" w:type="dxa"/>
            <w:vAlign w:val="bottom"/>
          </w:tcPr>
          <w:p>
            <w:pPr>
              <w:ind w:left="2740"/>
              <w:spacing w:after="0"/>
              <w:rPr>
                <w:sz w:val="20"/>
                <w:szCs w:val="20"/>
                <w:color w:val="auto"/>
              </w:rPr>
            </w:pPr>
            <w:r>
              <w:rPr>
                <w:rFonts w:ascii="Times New Roman" w:cs="Times New Roman" w:eastAsia="Times New Roman" w:hAnsi="Times New Roman"/>
                <w:sz w:val="18"/>
                <w:szCs w:val="18"/>
                <w:b w:val="1"/>
                <w:bCs w:val="1"/>
                <w:color w:val="auto"/>
              </w:rPr>
              <w:t>Key Context</w:t>
            </w:r>
          </w:p>
        </w:tc>
      </w:tr>
      <w:tr>
        <w:trPr>
          <w:trHeight w:val="243"/>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$3.5 million</w:t>
            </w:r>
          </w:p>
        </w:tc>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Reflects transition to leaner model</w:t>
            </w:r>
          </w:p>
        </w:tc>
      </w:tr>
      <w:tr>
        <w:trPr>
          <w:trHeight w:val="243"/>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$0.8 million</w:t>
            </w:r>
          </w:p>
        </w:tc>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margin of 21.6%</w:t>
            </w:r>
          </w:p>
        </w:tc>
      </w:tr>
      <w:tr>
        <w:trPr>
          <w:trHeight w:val="243"/>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$1.9 million</w:t>
            </w:r>
          </w:p>
        </w:tc>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Down 66% sequentially</w:t>
            </w:r>
          </w:p>
        </w:tc>
      </w:tr>
      <w:tr>
        <w:trPr>
          <w:trHeight w:val="243"/>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GAAP net loss attributable to iPower</w:t>
            </w:r>
          </w:p>
        </w:tc>
        <w:tc>
          <w:tcPr>
            <w:tcW w:w="1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$(3.5) million</w:t>
            </w:r>
          </w:p>
        </w:tc>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Includes $3.0 million non-cash goodwill impairment</w:t>
            </w:r>
          </w:p>
        </w:tc>
      </w:tr>
      <w:tr>
        <w:trPr>
          <w:trHeight w:val="243"/>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Non-GAAP net loss attributable to iPower</w:t>
            </w:r>
          </w:p>
        </w:tc>
        <w:tc>
          <w:tcPr>
            <w:tcW w:w="1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$(0.3) million</w:t>
            </w:r>
          </w:p>
        </w:tc>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Improved from $(0.7) million in prior-year quarter</w:t>
            </w:r>
          </w:p>
        </w:tc>
      </w:tr>
      <w:tr>
        <w:trPr>
          <w:trHeight w:val="243"/>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$14.5 million</w:t>
            </w:r>
          </w:p>
        </w:tc>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ratio of approximately 2.2x</w:t>
            </w:r>
          </w:p>
        </w:tc>
      </w:tr>
      <w:tr>
        <w:trPr>
          <w:trHeight w:val="243"/>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$6.6 million</w:t>
            </w:r>
          </w:p>
        </w:tc>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Down 54% from June 30, 2025</w:t>
            </w:r>
          </w:p>
        </w:tc>
      </w:tr>
      <w:tr>
        <w:trPr>
          <w:trHeight w:val="459"/>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About iPower Inc.</w:t>
            </w:r>
          </w:p>
        </w:tc>
        <w:tc>
          <w:tcPr>
            <w:tcW w:w="1620" w:type="dxa"/>
            <w:vAlign w:val="bottom"/>
          </w:tcPr>
          <w:p>
            <w:pPr>
              <w:spacing w:after="0"/>
              <w:rPr>
                <w:sz w:val="24"/>
                <w:szCs w:val="24"/>
                <w:color w:val="auto"/>
              </w:rPr>
            </w:pPr>
          </w:p>
        </w:tc>
        <w:tc>
          <w:tcPr>
            <w:tcW w:w="392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iPower Inc. (Nasdaq: IPW) is a technology- and data-driven company executing a focused strategy at the intersection of AI infrastructure, digital assets and real-world commerce. The Company’s platform includes established e-commerce supply chain operations, logistics and software-enabled services, as well as a growing AI infrastructure investment strategy designed to support long-term stockholder value creation.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non-GAAP financial measures are included in this press release. These non-GAAP financial measures are provided to enhance the reader’s overall understanding of the Company’s financial performance. This press release includes non-GAAP net loss attributable to iPower and non-GAAP loss per share. The Company uses these measures to evaluate operating performance by excluding certain non-cash, non-recurring or non-operating items, including stock-based compensation, debt-related non-cash financing costs, change in fair value of derivative liability, unrealized loss on digital assets, loss on extinguishment of debt, goodwill impairment and related tax adjustments. These measures should not be considered a substitute for GAAP results. A reconciliation to the most directly comparable GAAP measure is included in the financial tables accompanying this release.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and other securities laws. Certain statements made herein that use words such as “estimate,” “project,” “intend,” “expect,” “believe,” “may,” “might,” “potential,” “anticipate,” “plan” or similar expressions are intended to identify forward-looking statements. Such forward-looking statements include statements regarding iPower’s operating strategy, cost structure, liquidity, balance sheet flexibility, anticipated sublease income, AI infrastructure strategy, digital asset strategy and future growth opportunities. These statements are subject to risks and uncertainties that could cause actual results to differ materially from those expressed or implied. Additional risks are described in the Company’s filings with the Securities and Exchange Commission, including the Company’s Annual Report on Form 10-K, Quarterly Reports on Form 10-Q, and Current Reports on Form 8-K. iPower undertakes no obligation to update forward-looking statements except as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&amp; 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IPW.IR@meetipower.com</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iPower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March 31, 2026 and June 30, 2025</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780"/>
              <w:spacing w:after="0"/>
              <w:rPr>
                <w:sz w:val="20"/>
                <w:szCs w:val="20"/>
                <w:color w:val="auto"/>
              </w:rPr>
            </w:pPr>
            <w:r>
              <w:rPr>
                <w:rFonts w:ascii="Times New Roman" w:cs="Times New Roman" w:eastAsia="Times New Roman" w:hAnsi="Times New Roman"/>
                <w:sz w:val="16"/>
                <w:szCs w:val="16"/>
                <w:color w:val="auto"/>
              </w:rPr>
              <w:t>March 31,</w:t>
            </w:r>
          </w:p>
        </w:tc>
        <w:tc>
          <w:tcPr>
            <w:tcW w:w="300" w:type="dxa"/>
            <w:vAlign w:val="bottom"/>
          </w:tcPr>
          <w:p>
            <w:pPr>
              <w:spacing w:after="0"/>
              <w:rPr>
                <w:sz w:val="18"/>
                <w:szCs w:val="18"/>
                <w:color w:val="auto"/>
              </w:rPr>
            </w:pPr>
          </w:p>
        </w:tc>
        <w:tc>
          <w:tcPr>
            <w:tcW w:w="1380" w:type="dxa"/>
            <w:vAlign w:val="bottom"/>
            <w:gridSpan w:val="3"/>
          </w:tcPr>
          <w:p>
            <w:pPr>
              <w:jc w:val="right"/>
              <w:ind w:right="620"/>
              <w:spacing w:after="0"/>
              <w:rPr>
                <w:sz w:val="20"/>
                <w:szCs w:val="20"/>
                <w:color w:val="auto"/>
              </w:rPr>
            </w:pPr>
            <w:r>
              <w:rPr>
                <w:rFonts w:ascii="Times New Roman" w:cs="Times New Roman" w:eastAsia="Times New Roman" w:hAnsi="Times New Roman"/>
                <w:sz w:val="16"/>
                <w:szCs w:val="16"/>
                <w:color w:val="auto"/>
              </w:rPr>
              <w:t>June 30,</w:t>
            </w:r>
          </w:p>
        </w:tc>
      </w:tr>
      <w:tr>
        <w:trPr>
          <w:trHeight w:val="219"/>
        </w:trPr>
        <w:tc>
          <w:tcPr>
            <w:tcW w:w="6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2026</w:t>
            </w:r>
          </w:p>
        </w:tc>
        <w:tc>
          <w:tcPr>
            <w:tcW w:w="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9"/>
        </w:trPr>
        <w:tc>
          <w:tcPr>
            <w:tcW w:w="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3"/>
        </w:trPr>
        <w:tc>
          <w:tcPr>
            <w:tcW w:w="600" w:type="dxa"/>
            <w:vAlign w:val="bottom"/>
            <w:tcBorders>
              <w:bottom w:val="single" w:sz="8" w:color="auto"/>
            </w:tcBorders>
            <w:shd w:val="clear" w:color="auto" w:fill="EEEEEE"/>
          </w:tcPr>
          <w:p>
            <w:pPr>
              <w:spacing w:after="0" w:line="162" w:lineRule="exact"/>
              <w:rPr>
                <w:sz w:val="20"/>
                <w:szCs w:val="20"/>
                <w:color w:val="auto"/>
              </w:rPr>
            </w:pPr>
            <w:r>
              <w:rPr>
                <w:rFonts w:ascii="Times New Roman" w:cs="Times New Roman" w:eastAsia="Times New Roman" w:hAnsi="Times New Roman"/>
                <w:sz w:val="16"/>
                <w:szCs w:val="16"/>
                <w:color w:val="auto"/>
              </w:rPr>
              <w:t>ASSETS</w:t>
            </w:r>
          </w:p>
        </w:tc>
        <w:tc>
          <w:tcPr>
            <w:tcW w:w="6880" w:type="dxa"/>
            <w:vAlign w:val="bottom"/>
            <w:tcBorders>
              <w:bottom w:val="single" w:sz="8" w:color="EEEEEE"/>
            </w:tcBorders>
            <w:gridSpan w:val="2"/>
            <w:shd w:val="clear" w:color="auto" w:fill="EEEEEE"/>
          </w:tcPr>
          <w:p>
            <w:pPr>
              <w:spacing w:after="0"/>
              <w:rPr>
                <w:sz w:val="15"/>
                <w:szCs w:val="15"/>
                <w:color w:val="auto"/>
              </w:rPr>
            </w:pPr>
          </w:p>
        </w:tc>
        <w:tc>
          <w:tcPr>
            <w:tcW w:w="180" w:type="dxa"/>
            <w:vAlign w:val="bottom"/>
            <w:tcBorders>
              <w:bottom w:val="single" w:sz="8" w:color="EEEEEE"/>
            </w:tcBorders>
            <w:shd w:val="clear" w:color="auto" w:fill="EEEEEE"/>
          </w:tcPr>
          <w:p>
            <w:pPr>
              <w:spacing w:after="0"/>
              <w:rPr>
                <w:sz w:val="15"/>
                <w:szCs w:val="15"/>
                <w:color w:val="auto"/>
              </w:rPr>
            </w:pPr>
          </w:p>
        </w:tc>
        <w:tc>
          <w:tcPr>
            <w:tcW w:w="280" w:type="dxa"/>
            <w:vAlign w:val="bottom"/>
            <w:tcBorders>
              <w:bottom w:val="single" w:sz="8" w:color="EEEEEE"/>
            </w:tcBorders>
            <w:shd w:val="clear" w:color="auto" w:fill="EEEEEE"/>
          </w:tcPr>
          <w:p>
            <w:pPr>
              <w:spacing w:after="0"/>
              <w:rPr>
                <w:sz w:val="15"/>
                <w:szCs w:val="15"/>
                <w:color w:val="auto"/>
              </w:rPr>
            </w:pPr>
          </w:p>
        </w:tc>
        <w:tc>
          <w:tcPr>
            <w:tcW w:w="1300" w:type="dxa"/>
            <w:vAlign w:val="bottom"/>
            <w:tcBorders>
              <w:bottom w:val="single" w:sz="8" w:color="EEEEEE"/>
            </w:tcBorders>
            <w:shd w:val="clear" w:color="auto" w:fill="EEEEEE"/>
          </w:tcPr>
          <w:p>
            <w:pPr>
              <w:spacing w:after="0"/>
              <w:rPr>
                <w:sz w:val="15"/>
                <w:szCs w:val="15"/>
                <w:color w:val="auto"/>
              </w:rPr>
            </w:pPr>
          </w:p>
        </w:tc>
        <w:tc>
          <w:tcPr>
            <w:tcW w:w="320" w:type="dxa"/>
            <w:vAlign w:val="bottom"/>
            <w:tcBorders>
              <w:bottom w:val="single" w:sz="8" w:color="EEEEEE"/>
            </w:tcBorders>
            <w:shd w:val="clear" w:color="auto" w:fill="EEEEEE"/>
          </w:tcPr>
          <w:p>
            <w:pPr>
              <w:spacing w:after="0"/>
              <w:rPr>
                <w:sz w:val="15"/>
                <w:szCs w:val="15"/>
                <w:color w:val="auto"/>
              </w:rPr>
            </w:pPr>
          </w:p>
        </w:tc>
        <w:tc>
          <w:tcPr>
            <w:tcW w:w="300" w:type="dxa"/>
            <w:vAlign w:val="bottom"/>
            <w:tcBorders>
              <w:bottom w:val="single" w:sz="8" w:color="EEEEEE"/>
            </w:tcBorders>
            <w:shd w:val="clear" w:color="auto" w:fill="EEEEEE"/>
          </w:tcPr>
          <w:p>
            <w:pPr>
              <w:spacing w:after="0"/>
              <w:rPr>
                <w:sz w:val="15"/>
                <w:szCs w:val="15"/>
                <w:color w:val="auto"/>
              </w:rPr>
            </w:pPr>
          </w:p>
        </w:tc>
        <w:tc>
          <w:tcPr>
            <w:tcW w:w="1280" w:type="dxa"/>
            <w:vAlign w:val="bottom"/>
            <w:tcBorders>
              <w:bottom w:val="single" w:sz="8" w:color="EEEEEE"/>
            </w:tcBorders>
            <w:shd w:val="clear" w:color="auto" w:fill="EEEEEE"/>
          </w:tcPr>
          <w:p>
            <w:pPr>
              <w:spacing w:after="0"/>
              <w:rPr>
                <w:sz w:val="15"/>
                <w:szCs w:val="15"/>
                <w:color w:val="auto"/>
              </w:rPr>
            </w:pPr>
          </w:p>
        </w:tc>
        <w:tc>
          <w:tcPr>
            <w:tcW w:w="20" w:type="dxa"/>
            <w:vAlign w:val="bottom"/>
            <w:tcBorders>
              <w:bottom w:val="single" w:sz="8" w:color="EEEEEE"/>
            </w:tcBorders>
            <w:shd w:val="clear" w:color="auto" w:fill="EEEEEE"/>
          </w:tcPr>
          <w:p>
            <w:pPr>
              <w:spacing w:after="0"/>
              <w:rPr>
                <w:sz w:val="15"/>
                <w:szCs w:val="15"/>
                <w:color w:val="auto"/>
              </w:rPr>
            </w:pPr>
          </w:p>
        </w:tc>
        <w:tc>
          <w:tcPr>
            <w:tcW w:w="80" w:type="dxa"/>
            <w:vAlign w:val="bottom"/>
            <w:tcBorders>
              <w:bottom w:val="single" w:sz="8" w:color="EEEEEE"/>
            </w:tcBorders>
            <w:shd w:val="clear" w:color="auto" w:fill="EEEEEE"/>
          </w:tcPr>
          <w:p>
            <w:pPr>
              <w:spacing w:after="0"/>
              <w:rPr>
                <w:sz w:val="15"/>
                <w:szCs w:val="15"/>
                <w:color w:val="auto"/>
              </w:rPr>
            </w:pPr>
          </w:p>
        </w:tc>
      </w:tr>
      <w:tr>
        <w:trPr>
          <w:trHeight w:val="203"/>
        </w:trPr>
        <w:tc>
          <w:tcPr>
            <w:tcW w:w="7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48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Cash and cash equivalent</w:t>
            </w:r>
          </w:p>
        </w:tc>
        <w:tc>
          <w:tcPr>
            <w:tcW w:w="4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713,685</w:t>
            </w:r>
          </w:p>
        </w:tc>
        <w:tc>
          <w:tcPr>
            <w:tcW w:w="300" w:type="dxa"/>
            <w:vAlign w:val="bottom"/>
            <w:shd w:val="clear" w:color="auto" w:fill="EEEEEE"/>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1,677,879</w:t>
            </w:r>
          </w:p>
        </w:tc>
        <w:tc>
          <w:tcPr>
            <w:tcW w:w="80" w:type="dxa"/>
            <w:vAlign w:val="bottom"/>
            <w:shd w:val="clear" w:color="auto" w:fill="EEEEEE"/>
          </w:tcPr>
          <w:p>
            <w:pPr>
              <w:spacing w:after="0"/>
              <w:rPr>
                <w:sz w:val="17"/>
                <w:szCs w:val="17"/>
                <w:color w:val="auto"/>
              </w:rPr>
            </w:pPr>
          </w:p>
        </w:tc>
      </w:tr>
      <w:tr>
        <w:trPr>
          <w:trHeight w:val="203"/>
        </w:trPr>
        <w:tc>
          <w:tcPr>
            <w:tcW w:w="748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7,064,189</w:t>
            </w:r>
          </w:p>
        </w:tc>
        <w:tc>
          <w:tcPr>
            <w:tcW w:w="30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6,124,008</w:t>
            </w:r>
          </w:p>
        </w:tc>
        <w:tc>
          <w:tcPr>
            <w:tcW w:w="80" w:type="dxa"/>
            <w:vAlign w:val="bottom"/>
          </w:tcPr>
          <w:p>
            <w:pPr>
              <w:spacing w:after="0"/>
              <w:rPr>
                <w:sz w:val="17"/>
                <w:szCs w:val="17"/>
                <w:color w:val="auto"/>
              </w:rPr>
            </w:pPr>
          </w:p>
        </w:tc>
      </w:tr>
      <w:tr>
        <w:trPr>
          <w:trHeight w:val="203"/>
        </w:trPr>
        <w:tc>
          <w:tcPr>
            <w:tcW w:w="748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Inventories, net</w:t>
            </w:r>
          </w:p>
        </w:tc>
        <w:tc>
          <w:tcPr>
            <w:tcW w:w="1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2,536,961</w:t>
            </w:r>
          </w:p>
        </w:tc>
        <w:tc>
          <w:tcPr>
            <w:tcW w:w="30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8,131,203</w:t>
            </w:r>
          </w:p>
        </w:tc>
        <w:tc>
          <w:tcPr>
            <w:tcW w:w="80" w:type="dxa"/>
            <w:vAlign w:val="bottom"/>
            <w:shd w:val="clear" w:color="auto" w:fill="EEEEEE"/>
          </w:tcPr>
          <w:p>
            <w:pPr>
              <w:spacing w:after="0"/>
              <w:rPr>
                <w:sz w:val="17"/>
                <w:szCs w:val="17"/>
                <w:color w:val="auto"/>
              </w:rPr>
            </w:pPr>
          </w:p>
        </w:tc>
      </w:tr>
      <w:tr>
        <w:trPr>
          <w:trHeight w:val="203"/>
        </w:trPr>
        <w:tc>
          <w:tcPr>
            <w:tcW w:w="748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Restricted Cash - BitGo</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2,209,000</w:t>
            </w:r>
          </w:p>
        </w:tc>
        <w:tc>
          <w:tcPr>
            <w:tcW w:w="300" w:type="dxa"/>
            <w:vAlign w:val="bottom"/>
          </w:tcPr>
          <w:p>
            <w:pPr>
              <w:spacing w:after="0"/>
              <w:rPr>
                <w:sz w:val="17"/>
                <w:szCs w:val="17"/>
                <w:color w:val="auto"/>
              </w:rPr>
            </w:pP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48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Prepayments and other current assets, net</w:t>
            </w:r>
          </w:p>
        </w:tc>
        <w:tc>
          <w:tcPr>
            <w:tcW w:w="1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1,973,215</w:t>
            </w:r>
          </w:p>
        </w:tc>
        <w:tc>
          <w:tcPr>
            <w:tcW w:w="30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2,567,706</w:t>
            </w:r>
          </w:p>
        </w:tc>
        <w:tc>
          <w:tcPr>
            <w:tcW w:w="80" w:type="dxa"/>
            <w:vAlign w:val="bottom"/>
            <w:shd w:val="clear" w:color="auto" w:fill="EEEEEE"/>
          </w:tcPr>
          <w:p>
            <w:pPr>
              <w:spacing w:after="0"/>
              <w:rPr>
                <w:sz w:val="17"/>
                <w:szCs w:val="17"/>
                <w:color w:val="auto"/>
              </w:rPr>
            </w:pPr>
          </w:p>
        </w:tc>
      </w:tr>
      <w:tr>
        <w:trPr>
          <w:trHeight w:val="213"/>
        </w:trPr>
        <w:tc>
          <w:tcPr>
            <w:tcW w:w="748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Current assets held for sale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873,515</w:t>
            </w:r>
          </w:p>
        </w:tc>
        <w:tc>
          <w:tcPr>
            <w:tcW w:w="80" w:type="dxa"/>
            <w:vAlign w:val="bottom"/>
          </w:tcPr>
          <w:p>
            <w:pPr>
              <w:spacing w:after="0"/>
              <w:rPr>
                <w:sz w:val="18"/>
                <w:szCs w:val="18"/>
                <w:color w:val="auto"/>
              </w:rPr>
            </w:pPr>
          </w:p>
        </w:tc>
      </w:tr>
      <w:tr>
        <w:trPr>
          <w:trHeight w:val="199"/>
        </w:trPr>
        <w:tc>
          <w:tcPr>
            <w:tcW w:w="7480" w:type="dxa"/>
            <w:vAlign w:val="bottom"/>
            <w:tcBorders>
              <w:top w:val="single" w:sz="8" w:color="EEEEEE"/>
            </w:tcBorders>
            <w:gridSpan w:val="3"/>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Borders>
              <w:top w:val="single" w:sz="8" w:color="EEEEEE"/>
            </w:tcBorders>
            <w:shd w:val="clear" w:color="auto" w:fill="EEEEEE"/>
          </w:tcPr>
          <w:p>
            <w:pPr>
              <w:spacing w:after="0"/>
              <w:rPr>
                <w:sz w:val="17"/>
                <w:szCs w:val="17"/>
                <w:color w:val="auto"/>
              </w:rPr>
            </w:pPr>
          </w:p>
        </w:tc>
        <w:tc>
          <w:tcPr>
            <w:tcW w:w="280" w:type="dxa"/>
            <w:vAlign w:val="bottom"/>
            <w:tcBorders>
              <w:top w:val="single" w:sz="8" w:color="auto"/>
              <w:bottom w:val="single" w:sz="8" w:color="auto"/>
            </w:tcBorders>
            <w:shd w:val="clear" w:color="auto" w:fill="EEEEEE"/>
          </w:tcPr>
          <w:p>
            <w:pPr>
              <w:spacing w:after="0"/>
              <w:rPr>
                <w:sz w:val="17"/>
                <w:szCs w:val="17"/>
                <w:color w:val="auto"/>
              </w:rPr>
            </w:pP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14,497,050</w:t>
            </w:r>
          </w:p>
        </w:tc>
        <w:tc>
          <w:tcPr>
            <w:tcW w:w="32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bottom w:val="single" w:sz="8" w:color="auto"/>
            </w:tcBorders>
            <w:shd w:val="clear" w:color="auto" w:fill="EEEEEE"/>
          </w:tcPr>
          <w:p>
            <w:pPr>
              <w:spacing w:after="0"/>
              <w:rPr>
                <w:sz w:val="17"/>
                <w:szCs w:val="17"/>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19,374,311</w:t>
            </w:r>
          </w:p>
        </w:tc>
        <w:tc>
          <w:tcPr>
            <w:tcW w:w="100" w:type="dxa"/>
            <w:vAlign w:val="bottom"/>
            <w:tcBorders>
              <w:top w:val="single" w:sz="8" w:color="EEEEEE"/>
            </w:tcBorders>
            <w:gridSpan w:val="2"/>
            <w:shd w:val="clear" w:color="auto" w:fill="EEEEEE"/>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48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6"/>
                <w:szCs w:val="16"/>
                <w:color w:val="auto"/>
              </w:rPr>
              <w:t>Non-current assets</w:t>
            </w:r>
          </w:p>
        </w:tc>
        <w:tc>
          <w:tcPr>
            <w:tcW w:w="1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03"/>
        </w:trPr>
        <w:tc>
          <w:tcPr>
            <w:tcW w:w="748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Right of use - non-current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2,966,202</w:t>
            </w:r>
          </w:p>
        </w:tc>
        <w:tc>
          <w:tcPr>
            <w:tcW w:w="30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3,915,539</w:t>
            </w:r>
          </w:p>
        </w:tc>
        <w:tc>
          <w:tcPr>
            <w:tcW w:w="80" w:type="dxa"/>
            <w:vAlign w:val="bottom"/>
          </w:tcPr>
          <w:p>
            <w:pPr>
              <w:spacing w:after="0"/>
              <w:rPr>
                <w:sz w:val="17"/>
                <w:szCs w:val="17"/>
                <w:color w:val="auto"/>
              </w:rPr>
            </w:pPr>
          </w:p>
        </w:tc>
      </w:tr>
      <w:tr>
        <w:trPr>
          <w:trHeight w:val="203"/>
        </w:trPr>
        <w:tc>
          <w:tcPr>
            <w:tcW w:w="748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166,441</w:t>
            </w:r>
          </w:p>
        </w:tc>
        <w:tc>
          <w:tcPr>
            <w:tcW w:w="30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390,349</w:t>
            </w:r>
          </w:p>
        </w:tc>
        <w:tc>
          <w:tcPr>
            <w:tcW w:w="80" w:type="dxa"/>
            <w:vAlign w:val="bottom"/>
            <w:shd w:val="clear" w:color="auto" w:fill="EEEEEE"/>
          </w:tcPr>
          <w:p>
            <w:pPr>
              <w:spacing w:after="0"/>
              <w:rPr>
                <w:sz w:val="17"/>
                <w:szCs w:val="17"/>
                <w:color w:val="auto"/>
              </w:rPr>
            </w:pPr>
          </w:p>
        </w:tc>
      </w:tr>
      <w:tr>
        <w:trPr>
          <w:trHeight w:val="203"/>
        </w:trPr>
        <w:tc>
          <w:tcPr>
            <w:tcW w:w="748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Deferred tax assets, net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4,990,836</w:t>
            </w:r>
          </w:p>
        </w:tc>
        <w:tc>
          <w:tcPr>
            <w:tcW w:w="30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3,724,462</w:t>
            </w:r>
          </w:p>
        </w:tc>
        <w:tc>
          <w:tcPr>
            <w:tcW w:w="80" w:type="dxa"/>
            <w:vAlign w:val="bottom"/>
          </w:tcPr>
          <w:p>
            <w:pPr>
              <w:spacing w:after="0"/>
              <w:rPr>
                <w:sz w:val="17"/>
                <w:szCs w:val="17"/>
                <w:color w:val="auto"/>
              </w:rPr>
            </w:pPr>
          </w:p>
        </w:tc>
      </w:tr>
      <w:tr>
        <w:trPr>
          <w:trHeight w:val="203"/>
        </w:trPr>
        <w:tc>
          <w:tcPr>
            <w:tcW w:w="748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EEEEEE"/>
          </w:tcPr>
          <w:p>
            <w:pPr>
              <w:spacing w:after="0"/>
              <w:rPr>
                <w:sz w:val="17"/>
                <w:szCs w:val="17"/>
                <w:color w:val="auto"/>
              </w:rPr>
            </w:pPr>
          </w:p>
        </w:tc>
        <w:tc>
          <w:tcPr>
            <w:tcW w:w="13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3,034,110</w:t>
            </w:r>
          </w:p>
        </w:tc>
      </w:tr>
      <w:tr>
        <w:trPr>
          <w:trHeight w:val="203"/>
        </w:trPr>
        <w:tc>
          <w:tcPr>
            <w:tcW w:w="748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Investment in joint venture</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13,264</w:t>
            </w:r>
          </w:p>
        </w:tc>
        <w:tc>
          <w:tcPr>
            <w:tcW w:w="30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385,180</w:t>
            </w:r>
          </w:p>
        </w:tc>
        <w:tc>
          <w:tcPr>
            <w:tcW w:w="80" w:type="dxa"/>
            <w:vAlign w:val="bottom"/>
          </w:tcPr>
          <w:p>
            <w:pPr>
              <w:spacing w:after="0"/>
              <w:rPr>
                <w:sz w:val="17"/>
                <w:szCs w:val="17"/>
                <w:color w:val="auto"/>
              </w:rPr>
            </w:pPr>
          </w:p>
        </w:tc>
      </w:tr>
      <w:tr>
        <w:trPr>
          <w:trHeight w:val="203"/>
        </w:trPr>
        <w:tc>
          <w:tcPr>
            <w:tcW w:w="748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Note Receivable</w:t>
            </w:r>
          </w:p>
        </w:tc>
        <w:tc>
          <w:tcPr>
            <w:tcW w:w="1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2,300,000</w:t>
            </w:r>
          </w:p>
        </w:tc>
        <w:tc>
          <w:tcPr>
            <w:tcW w:w="300" w:type="dxa"/>
            <w:vAlign w:val="bottom"/>
            <w:shd w:val="clear" w:color="auto" w:fill="EEEEEE"/>
          </w:tcPr>
          <w:p>
            <w:pPr>
              <w:spacing w:after="0"/>
              <w:rPr>
                <w:sz w:val="17"/>
                <w:szCs w:val="17"/>
                <w:color w:val="auto"/>
              </w:rPr>
            </w:pPr>
          </w:p>
        </w:tc>
        <w:tc>
          <w:tcPr>
            <w:tcW w:w="13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48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2,494,300</w:t>
            </w:r>
          </w:p>
        </w:tc>
        <w:tc>
          <w:tcPr>
            <w:tcW w:w="30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2,981,328</w:t>
            </w:r>
          </w:p>
        </w:tc>
        <w:tc>
          <w:tcPr>
            <w:tcW w:w="80" w:type="dxa"/>
            <w:vAlign w:val="bottom"/>
          </w:tcPr>
          <w:p>
            <w:pPr>
              <w:spacing w:after="0"/>
              <w:rPr>
                <w:sz w:val="17"/>
                <w:szCs w:val="17"/>
                <w:color w:val="auto"/>
              </w:rPr>
            </w:pPr>
          </w:p>
        </w:tc>
      </w:tr>
      <w:tr>
        <w:trPr>
          <w:trHeight w:val="203"/>
        </w:trPr>
        <w:tc>
          <w:tcPr>
            <w:tcW w:w="748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Digital assets</w:t>
            </w:r>
          </w:p>
        </w:tc>
        <w:tc>
          <w:tcPr>
            <w:tcW w:w="1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1,664,827</w:t>
            </w:r>
          </w:p>
        </w:tc>
        <w:tc>
          <w:tcPr>
            <w:tcW w:w="300" w:type="dxa"/>
            <w:vAlign w:val="bottom"/>
            <w:shd w:val="clear" w:color="auto" w:fill="EEEEEE"/>
          </w:tcPr>
          <w:p>
            <w:pPr>
              <w:spacing w:after="0"/>
              <w:rPr>
                <w:sz w:val="17"/>
                <w:szCs w:val="17"/>
                <w:color w:val="auto"/>
              </w:rPr>
            </w:pPr>
          </w:p>
        </w:tc>
        <w:tc>
          <w:tcPr>
            <w:tcW w:w="13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48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Other non-current assets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2,213,668</w:t>
            </w: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1,837,488</w:t>
            </w:r>
          </w:p>
        </w:tc>
        <w:tc>
          <w:tcPr>
            <w:tcW w:w="80" w:type="dxa"/>
            <w:vAlign w:val="bottom"/>
          </w:tcPr>
          <w:p>
            <w:pPr>
              <w:spacing w:after="0"/>
              <w:rPr>
                <w:sz w:val="18"/>
                <w:szCs w:val="18"/>
                <w:color w:val="auto"/>
              </w:rPr>
            </w:pPr>
          </w:p>
        </w:tc>
      </w:tr>
      <w:tr>
        <w:trPr>
          <w:trHeight w:val="199"/>
        </w:trPr>
        <w:tc>
          <w:tcPr>
            <w:tcW w:w="7480" w:type="dxa"/>
            <w:vAlign w:val="bottom"/>
            <w:tcBorders>
              <w:top w:val="single" w:sz="8" w:color="EEEEEE"/>
            </w:tcBorders>
            <w:gridSpan w:val="3"/>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Total non-current assets</w:t>
            </w:r>
          </w:p>
        </w:tc>
        <w:tc>
          <w:tcPr>
            <w:tcW w:w="180" w:type="dxa"/>
            <w:vAlign w:val="bottom"/>
            <w:tcBorders>
              <w:top w:val="single" w:sz="8" w:color="EEEEEE"/>
            </w:tcBorders>
            <w:shd w:val="clear" w:color="auto" w:fill="EEEEEE"/>
          </w:tcPr>
          <w:p>
            <w:pPr>
              <w:spacing w:after="0"/>
              <w:rPr>
                <w:sz w:val="17"/>
                <w:szCs w:val="17"/>
                <w:color w:val="auto"/>
              </w:rPr>
            </w:pPr>
          </w:p>
        </w:tc>
        <w:tc>
          <w:tcPr>
            <w:tcW w:w="280" w:type="dxa"/>
            <w:vAlign w:val="bottom"/>
            <w:tcBorders>
              <w:top w:val="single" w:sz="8" w:color="auto"/>
              <w:bottom w:val="single" w:sz="8" w:color="auto"/>
            </w:tcBorders>
            <w:shd w:val="clear" w:color="auto" w:fill="EEEEEE"/>
          </w:tcPr>
          <w:p>
            <w:pPr>
              <w:spacing w:after="0"/>
              <w:rPr>
                <w:sz w:val="17"/>
                <w:szCs w:val="17"/>
                <w:color w:val="auto"/>
              </w:rPr>
            </w:pP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16,809,538</w:t>
            </w:r>
          </w:p>
        </w:tc>
        <w:tc>
          <w:tcPr>
            <w:tcW w:w="32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bottom w:val="single" w:sz="8" w:color="auto"/>
            </w:tcBorders>
            <w:shd w:val="clear" w:color="auto" w:fill="EEEEEE"/>
          </w:tcPr>
          <w:p>
            <w:pPr>
              <w:spacing w:after="0"/>
              <w:rPr>
                <w:sz w:val="17"/>
                <w:szCs w:val="17"/>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16,268,456</w:t>
            </w:r>
          </w:p>
        </w:tc>
        <w:tc>
          <w:tcPr>
            <w:tcW w:w="2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6"/>
        </w:trPr>
        <w:tc>
          <w:tcPr>
            <w:tcW w:w="7480" w:type="dxa"/>
            <w:vAlign w:val="bottom"/>
            <w:gridSpan w:val="3"/>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4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31,306,588</w:t>
            </w:r>
          </w:p>
        </w:tc>
        <w:tc>
          <w:tcPr>
            <w:tcW w:w="300" w:type="dxa"/>
            <w:vAlign w:val="bottom"/>
            <w:shd w:val="clear" w:color="auto" w:fill="EEEEEE"/>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35,642,767</w:t>
            </w:r>
          </w:p>
        </w:tc>
        <w:tc>
          <w:tcPr>
            <w:tcW w:w="80" w:type="dxa"/>
            <w:vAlign w:val="bottom"/>
            <w:shd w:val="clear" w:color="auto" w:fill="EEEEEE"/>
          </w:tcPr>
          <w:p>
            <w:pPr>
              <w:spacing w:after="0"/>
              <w:rPr>
                <w:sz w:val="19"/>
                <w:szCs w:val="19"/>
                <w:color w:val="auto"/>
              </w:rPr>
            </w:pPr>
          </w:p>
        </w:tc>
      </w:tr>
      <w:tr>
        <w:trPr>
          <w:trHeight w:val="20"/>
        </w:trPr>
        <w:tc>
          <w:tcPr>
            <w:tcW w:w="600" w:type="dxa"/>
            <w:vAlign w:val="bottom"/>
            <w:tcBorders>
              <w:top w:val="single" w:sz="8" w:color="EEEEEE"/>
            </w:tcBorders>
          </w:tcPr>
          <w:p>
            <w:pPr>
              <w:spacing w:after="0" w:line="20" w:lineRule="exact"/>
              <w:rPr>
                <w:sz w:val="1"/>
                <w:szCs w:val="1"/>
                <w:color w:val="auto"/>
              </w:rPr>
            </w:pPr>
          </w:p>
        </w:tc>
        <w:tc>
          <w:tcPr>
            <w:tcW w:w="1360" w:type="dxa"/>
            <w:vAlign w:val="bottom"/>
            <w:tcBorders>
              <w:top w:val="single" w:sz="8" w:color="EEEEEE"/>
            </w:tcBorders>
          </w:tcPr>
          <w:p>
            <w:pPr>
              <w:spacing w:after="0" w:line="20" w:lineRule="exact"/>
              <w:rPr>
                <w:sz w:val="1"/>
                <w:szCs w:val="1"/>
                <w:color w:val="auto"/>
              </w:rPr>
            </w:pPr>
          </w:p>
        </w:tc>
        <w:tc>
          <w:tcPr>
            <w:tcW w:w="55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r>
      <w:tr>
        <w:trPr>
          <w:trHeight w:val="186"/>
        </w:trPr>
        <w:tc>
          <w:tcPr>
            <w:tcW w:w="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3"/>
        </w:trPr>
        <w:tc>
          <w:tcPr>
            <w:tcW w:w="7480" w:type="dxa"/>
            <w:vAlign w:val="bottom"/>
            <w:gridSpan w:val="3"/>
            <w:shd w:val="clear" w:color="auto" w:fill="EEEEEE"/>
          </w:tcPr>
          <w:p>
            <w:pPr>
              <w:spacing w:after="0" w:line="162" w:lineRule="exact"/>
              <w:rPr>
                <w:sz w:val="20"/>
                <w:szCs w:val="20"/>
                <w:color w:val="auto"/>
              </w:rPr>
            </w:pPr>
            <w:r>
              <w:rPr>
                <w:rFonts w:ascii="Times New Roman" w:cs="Times New Roman" w:eastAsia="Times New Roman" w:hAnsi="Times New Roman"/>
                <w:sz w:val="16"/>
                <w:szCs w:val="16"/>
                <w:color w:val="auto"/>
              </w:rPr>
              <w:t>LIABILITIES AND EQUITY</w:t>
            </w:r>
          </w:p>
        </w:tc>
        <w:tc>
          <w:tcPr>
            <w:tcW w:w="18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130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r>
      <w:tr>
        <w:trPr>
          <w:trHeight w:val="203"/>
        </w:trPr>
        <w:tc>
          <w:tcPr>
            <w:tcW w:w="19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5520" w:type="dxa"/>
            <w:vAlign w:val="bottom"/>
            <w:tcBorders>
              <w:top w:val="single" w:sz="8" w:color="EEEEEE"/>
            </w:tcBorders>
          </w:tcPr>
          <w:p>
            <w:pPr>
              <w:spacing w:after="0"/>
              <w:rPr>
                <w:sz w:val="17"/>
                <w:szCs w:val="17"/>
                <w:color w:val="auto"/>
              </w:rPr>
            </w:pPr>
          </w:p>
        </w:tc>
        <w:tc>
          <w:tcPr>
            <w:tcW w:w="180" w:type="dxa"/>
            <w:vAlign w:val="bottom"/>
            <w:tcBorders>
              <w:top w:val="single" w:sz="8" w:color="EEEEEE"/>
            </w:tcBorders>
          </w:tcPr>
          <w:p>
            <w:pPr>
              <w:spacing w:after="0"/>
              <w:rPr>
                <w:sz w:val="17"/>
                <w:szCs w:val="17"/>
                <w:color w:val="auto"/>
              </w:rPr>
            </w:pPr>
          </w:p>
        </w:tc>
        <w:tc>
          <w:tcPr>
            <w:tcW w:w="280" w:type="dxa"/>
            <w:vAlign w:val="bottom"/>
            <w:tcBorders>
              <w:top w:val="single" w:sz="8" w:color="EEEEEE"/>
            </w:tcBorders>
          </w:tcPr>
          <w:p>
            <w:pPr>
              <w:spacing w:after="0"/>
              <w:rPr>
                <w:sz w:val="17"/>
                <w:szCs w:val="17"/>
                <w:color w:val="auto"/>
              </w:rPr>
            </w:pPr>
          </w:p>
        </w:tc>
        <w:tc>
          <w:tcPr>
            <w:tcW w:w="1300" w:type="dxa"/>
            <w:vAlign w:val="bottom"/>
            <w:tcBorders>
              <w:top w:val="single" w:sz="8" w:color="EEEEEE"/>
            </w:tcBorders>
          </w:tcPr>
          <w:p>
            <w:pPr>
              <w:spacing w:after="0"/>
              <w:rPr>
                <w:sz w:val="17"/>
                <w:szCs w:val="17"/>
                <w:color w:val="auto"/>
              </w:rPr>
            </w:pPr>
          </w:p>
        </w:tc>
        <w:tc>
          <w:tcPr>
            <w:tcW w:w="320" w:type="dxa"/>
            <w:vAlign w:val="bottom"/>
            <w:tcBorders>
              <w:top w:val="single" w:sz="8" w:color="EEEEEE"/>
            </w:tcBorders>
          </w:tcPr>
          <w:p>
            <w:pPr>
              <w:spacing w:after="0"/>
              <w:rPr>
                <w:sz w:val="17"/>
                <w:szCs w:val="17"/>
                <w:color w:val="auto"/>
              </w:rPr>
            </w:pPr>
          </w:p>
        </w:tc>
        <w:tc>
          <w:tcPr>
            <w:tcW w:w="300" w:type="dxa"/>
            <w:vAlign w:val="bottom"/>
            <w:tcBorders>
              <w:top w:val="single" w:sz="8" w:color="EEEEEE"/>
            </w:tcBorders>
          </w:tcPr>
          <w:p>
            <w:pPr>
              <w:spacing w:after="0"/>
              <w:rPr>
                <w:sz w:val="17"/>
                <w:szCs w:val="17"/>
                <w:color w:val="auto"/>
              </w:rPr>
            </w:pPr>
          </w:p>
        </w:tc>
        <w:tc>
          <w:tcPr>
            <w:tcW w:w="1280" w:type="dxa"/>
            <w:vAlign w:val="bottom"/>
            <w:tcBorders>
              <w:top w:val="single" w:sz="8" w:color="EEEEEE"/>
            </w:tcBorders>
          </w:tcPr>
          <w:p>
            <w:pPr>
              <w:spacing w:after="0"/>
              <w:rPr>
                <w:sz w:val="17"/>
                <w:szCs w:val="17"/>
                <w:color w:val="auto"/>
              </w:rPr>
            </w:pPr>
          </w:p>
        </w:tc>
        <w:tc>
          <w:tcPr>
            <w:tcW w:w="20" w:type="dxa"/>
            <w:vAlign w:val="bottom"/>
            <w:tcBorders>
              <w:top w:val="single" w:sz="8" w:color="EEEEEE"/>
            </w:tcBorders>
          </w:tcPr>
          <w:p>
            <w:pPr>
              <w:spacing w:after="0"/>
              <w:rPr>
                <w:sz w:val="17"/>
                <w:szCs w:val="17"/>
                <w:color w:val="auto"/>
              </w:rPr>
            </w:pPr>
          </w:p>
        </w:tc>
        <w:tc>
          <w:tcPr>
            <w:tcW w:w="80" w:type="dxa"/>
            <w:vAlign w:val="bottom"/>
            <w:tcBorders>
              <w:top w:val="single" w:sz="8" w:color="EEEEEE"/>
            </w:tcBorders>
          </w:tcPr>
          <w:p>
            <w:pPr>
              <w:spacing w:after="0"/>
              <w:rPr>
                <w:sz w:val="17"/>
                <w:szCs w:val="17"/>
                <w:color w:val="auto"/>
              </w:rPr>
            </w:pPr>
          </w:p>
        </w:tc>
      </w:tr>
      <w:tr>
        <w:trPr>
          <w:trHeight w:val="203"/>
        </w:trPr>
        <w:tc>
          <w:tcPr>
            <w:tcW w:w="748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Accounts payable, net</w:t>
            </w:r>
          </w:p>
        </w:tc>
        <w:tc>
          <w:tcPr>
            <w:tcW w:w="1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3,016,663</w:t>
            </w:r>
          </w:p>
        </w:tc>
        <w:tc>
          <w:tcPr>
            <w:tcW w:w="30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7,180,009</w:t>
            </w:r>
          </w:p>
        </w:tc>
        <w:tc>
          <w:tcPr>
            <w:tcW w:w="80" w:type="dxa"/>
            <w:vAlign w:val="bottom"/>
            <w:shd w:val="clear" w:color="auto" w:fill="EEEEEE"/>
          </w:tcPr>
          <w:p>
            <w:pPr>
              <w:spacing w:after="0"/>
              <w:rPr>
                <w:sz w:val="17"/>
                <w:szCs w:val="17"/>
                <w:color w:val="auto"/>
              </w:rPr>
            </w:pPr>
          </w:p>
        </w:tc>
      </w:tr>
      <w:tr>
        <w:trPr>
          <w:trHeight w:val="203"/>
        </w:trPr>
        <w:tc>
          <w:tcPr>
            <w:tcW w:w="748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Other payables and accrued liabilities</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2,136,690</w:t>
            </w:r>
          </w:p>
        </w:tc>
        <w:tc>
          <w:tcPr>
            <w:tcW w:w="30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1,769,421</w:t>
            </w:r>
          </w:p>
        </w:tc>
        <w:tc>
          <w:tcPr>
            <w:tcW w:w="80" w:type="dxa"/>
            <w:vAlign w:val="bottom"/>
          </w:tcPr>
          <w:p>
            <w:pPr>
              <w:spacing w:after="0"/>
              <w:rPr>
                <w:sz w:val="17"/>
                <w:szCs w:val="17"/>
                <w:color w:val="auto"/>
              </w:rPr>
            </w:pPr>
          </w:p>
        </w:tc>
      </w:tr>
      <w:tr>
        <w:trPr>
          <w:trHeight w:val="203"/>
        </w:trPr>
        <w:tc>
          <w:tcPr>
            <w:tcW w:w="748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Lease liability - current</w:t>
            </w:r>
          </w:p>
        </w:tc>
        <w:tc>
          <w:tcPr>
            <w:tcW w:w="1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1,450,340</w:t>
            </w:r>
          </w:p>
        </w:tc>
        <w:tc>
          <w:tcPr>
            <w:tcW w:w="30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1,361,111</w:t>
            </w:r>
          </w:p>
        </w:tc>
        <w:tc>
          <w:tcPr>
            <w:tcW w:w="80" w:type="dxa"/>
            <w:vAlign w:val="bottom"/>
            <w:shd w:val="clear" w:color="auto" w:fill="EEEEEE"/>
          </w:tcPr>
          <w:p>
            <w:pPr>
              <w:spacing w:after="0"/>
              <w:rPr>
                <w:sz w:val="17"/>
                <w:szCs w:val="17"/>
                <w:color w:val="auto"/>
              </w:rPr>
            </w:pPr>
          </w:p>
        </w:tc>
      </w:tr>
      <w:tr>
        <w:trPr>
          <w:trHeight w:val="203"/>
        </w:trPr>
        <w:tc>
          <w:tcPr>
            <w:tcW w:w="748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Revolving loan payable, net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3,737,602</w:t>
            </w:r>
          </w:p>
        </w:tc>
        <w:tc>
          <w:tcPr>
            <w:tcW w:w="80" w:type="dxa"/>
            <w:vAlign w:val="bottom"/>
          </w:tcPr>
          <w:p>
            <w:pPr>
              <w:spacing w:after="0"/>
              <w:rPr>
                <w:sz w:val="17"/>
                <w:szCs w:val="17"/>
                <w:color w:val="auto"/>
              </w:rPr>
            </w:pPr>
          </w:p>
        </w:tc>
      </w:tr>
      <w:tr>
        <w:trPr>
          <w:trHeight w:val="203"/>
        </w:trPr>
        <w:tc>
          <w:tcPr>
            <w:tcW w:w="748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Income taxes payable</w:t>
            </w:r>
          </w:p>
        </w:tc>
        <w:tc>
          <w:tcPr>
            <w:tcW w:w="1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183,195</w:t>
            </w:r>
          </w:p>
        </w:tc>
        <w:tc>
          <w:tcPr>
            <w:tcW w:w="80" w:type="dxa"/>
            <w:vAlign w:val="bottom"/>
            <w:shd w:val="clear" w:color="auto" w:fill="EEEEEE"/>
          </w:tcPr>
          <w:p>
            <w:pPr>
              <w:spacing w:after="0"/>
              <w:rPr>
                <w:sz w:val="17"/>
                <w:szCs w:val="17"/>
                <w:color w:val="auto"/>
              </w:rPr>
            </w:pPr>
          </w:p>
        </w:tc>
      </w:tr>
      <w:tr>
        <w:trPr>
          <w:trHeight w:val="213"/>
        </w:trPr>
        <w:tc>
          <w:tcPr>
            <w:tcW w:w="748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Current liabilities held for sale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221,460</w:t>
            </w:r>
          </w:p>
        </w:tc>
        <w:tc>
          <w:tcPr>
            <w:tcW w:w="80" w:type="dxa"/>
            <w:vAlign w:val="bottom"/>
          </w:tcPr>
          <w:p>
            <w:pPr>
              <w:spacing w:after="0"/>
              <w:rPr>
                <w:sz w:val="18"/>
                <w:szCs w:val="18"/>
                <w:color w:val="auto"/>
              </w:rPr>
            </w:pPr>
          </w:p>
        </w:tc>
      </w:tr>
      <w:tr>
        <w:trPr>
          <w:trHeight w:val="199"/>
        </w:trPr>
        <w:tc>
          <w:tcPr>
            <w:tcW w:w="7480" w:type="dxa"/>
            <w:vAlign w:val="bottom"/>
            <w:tcBorders>
              <w:top w:val="single" w:sz="8" w:color="EEEEEE"/>
            </w:tcBorders>
            <w:gridSpan w:val="3"/>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Borders>
              <w:top w:val="single" w:sz="8" w:color="EEEEEE"/>
            </w:tcBorders>
            <w:shd w:val="clear" w:color="auto" w:fill="EEEEEE"/>
          </w:tcPr>
          <w:p>
            <w:pPr>
              <w:spacing w:after="0"/>
              <w:rPr>
                <w:sz w:val="17"/>
                <w:szCs w:val="17"/>
                <w:color w:val="auto"/>
              </w:rPr>
            </w:pPr>
          </w:p>
        </w:tc>
        <w:tc>
          <w:tcPr>
            <w:tcW w:w="280" w:type="dxa"/>
            <w:vAlign w:val="bottom"/>
            <w:tcBorders>
              <w:top w:val="single" w:sz="8" w:color="auto"/>
              <w:bottom w:val="single" w:sz="8" w:color="auto"/>
            </w:tcBorders>
            <w:shd w:val="clear" w:color="auto" w:fill="EEEEEE"/>
          </w:tcPr>
          <w:p>
            <w:pPr>
              <w:spacing w:after="0"/>
              <w:rPr>
                <w:sz w:val="17"/>
                <w:szCs w:val="17"/>
                <w:color w:val="auto"/>
              </w:rPr>
            </w:pP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6,603,693</w:t>
            </w:r>
          </w:p>
        </w:tc>
        <w:tc>
          <w:tcPr>
            <w:tcW w:w="32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bottom w:val="single" w:sz="8" w:color="auto"/>
            </w:tcBorders>
            <w:shd w:val="clear" w:color="auto" w:fill="EEEEEE"/>
          </w:tcPr>
          <w:p>
            <w:pPr>
              <w:spacing w:after="0"/>
              <w:rPr>
                <w:sz w:val="17"/>
                <w:szCs w:val="17"/>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14,452,798</w:t>
            </w:r>
          </w:p>
        </w:tc>
        <w:tc>
          <w:tcPr>
            <w:tcW w:w="2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48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6"/>
                <w:szCs w:val="16"/>
                <w:color w:val="auto"/>
              </w:rPr>
              <w:t>Non-current liabilities</w:t>
            </w:r>
          </w:p>
        </w:tc>
        <w:tc>
          <w:tcPr>
            <w:tcW w:w="1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03"/>
        </w:trPr>
        <w:tc>
          <w:tcPr>
            <w:tcW w:w="748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Convertible notes payable</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4,470,518</w:t>
            </w:r>
          </w:p>
        </w:tc>
        <w:tc>
          <w:tcPr>
            <w:tcW w:w="300" w:type="dxa"/>
            <w:vAlign w:val="bottom"/>
          </w:tcPr>
          <w:p>
            <w:pPr>
              <w:spacing w:after="0"/>
              <w:rPr>
                <w:sz w:val="17"/>
                <w:szCs w:val="17"/>
                <w:color w:val="auto"/>
              </w:rPr>
            </w:pP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48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Derivative liability - Conversion option</w:t>
            </w:r>
          </w:p>
        </w:tc>
        <w:tc>
          <w:tcPr>
            <w:tcW w:w="1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1,264,600</w:t>
            </w:r>
          </w:p>
        </w:tc>
        <w:tc>
          <w:tcPr>
            <w:tcW w:w="300" w:type="dxa"/>
            <w:vAlign w:val="bottom"/>
            <w:shd w:val="clear" w:color="auto" w:fill="EEEEEE"/>
          </w:tcPr>
          <w:p>
            <w:pPr>
              <w:spacing w:after="0"/>
              <w:rPr>
                <w:sz w:val="17"/>
                <w:szCs w:val="17"/>
                <w:color w:val="auto"/>
              </w:rPr>
            </w:pPr>
          </w:p>
        </w:tc>
        <w:tc>
          <w:tcPr>
            <w:tcW w:w="13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48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Lease liability - non-current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1,817,153</w:t>
            </w: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2,913,967</w:t>
            </w:r>
          </w:p>
        </w:tc>
        <w:tc>
          <w:tcPr>
            <w:tcW w:w="80" w:type="dxa"/>
            <w:vAlign w:val="bottom"/>
          </w:tcPr>
          <w:p>
            <w:pPr>
              <w:spacing w:after="0"/>
              <w:rPr>
                <w:sz w:val="18"/>
                <w:szCs w:val="18"/>
                <w:color w:val="auto"/>
              </w:rPr>
            </w:pPr>
          </w:p>
        </w:tc>
      </w:tr>
      <w:tr>
        <w:trPr>
          <w:trHeight w:val="199"/>
        </w:trPr>
        <w:tc>
          <w:tcPr>
            <w:tcW w:w="7480" w:type="dxa"/>
            <w:vAlign w:val="bottom"/>
            <w:tcBorders>
              <w:top w:val="single" w:sz="8" w:color="EEEEEE"/>
            </w:tcBorders>
            <w:gridSpan w:val="3"/>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180" w:type="dxa"/>
            <w:vAlign w:val="bottom"/>
            <w:tcBorders>
              <w:top w:val="single" w:sz="8" w:color="EEEEEE"/>
            </w:tcBorders>
            <w:shd w:val="clear" w:color="auto" w:fill="EEEEEE"/>
          </w:tcPr>
          <w:p>
            <w:pPr>
              <w:spacing w:after="0"/>
              <w:rPr>
                <w:sz w:val="17"/>
                <w:szCs w:val="17"/>
                <w:color w:val="auto"/>
              </w:rPr>
            </w:pPr>
          </w:p>
        </w:tc>
        <w:tc>
          <w:tcPr>
            <w:tcW w:w="280" w:type="dxa"/>
            <w:vAlign w:val="bottom"/>
            <w:tcBorders>
              <w:top w:val="single" w:sz="8" w:color="auto"/>
              <w:bottom w:val="single" w:sz="8" w:color="auto"/>
            </w:tcBorders>
            <w:shd w:val="clear" w:color="auto" w:fill="EEEEEE"/>
          </w:tcPr>
          <w:p>
            <w:pPr>
              <w:spacing w:after="0"/>
              <w:rPr>
                <w:sz w:val="17"/>
                <w:szCs w:val="17"/>
                <w:color w:val="auto"/>
              </w:rPr>
            </w:pP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7,552,271</w:t>
            </w:r>
          </w:p>
        </w:tc>
        <w:tc>
          <w:tcPr>
            <w:tcW w:w="32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bottom w:val="single" w:sz="8" w:color="auto"/>
            </w:tcBorders>
            <w:shd w:val="clear" w:color="auto" w:fill="EEEEEE"/>
          </w:tcPr>
          <w:p>
            <w:pPr>
              <w:spacing w:after="0"/>
              <w:rPr>
                <w:sz w:val="17"/>
                <w:szCs w:val="17"/>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2,913,967</w:t>
            </w:r>
          </w:p>
        </w:tc>
        <w:tc>
          <w:tcPr>
            <w:tcW w:w="2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7480" w:type="dxa"/>
            <w:vAlign w:val="bottom"/>
            <w:gridSpan w:val="3"/>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14,155,964</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17,366,765</w:t>
            </w:r>
          </w:p>
        </w:tc>
        <w:tc>
          <w:tcPr>
            <w:tcW w:w="80" w:type="dxa"/>
            <w:vAlign w:val="bottom"/>
            <w:shd w:val="clear" w:color="auto" w:fill="EEEEEE"/>
          </w:tcPr>
          <w:p>
            <w:pPr>
              <w:spacing w:after="0"/>
              <w:rPr>
                <w:sz w:val="18"/>
                <w:szCs w:val="18"/>
                <w:color w:val="auto"/>
              </w:rPr>
            </w:pPr>
          </w:p>
        </w:tc>
      </w:tr>
      <w:tr>
        <w:trPr>
          <w:trHeight w:val="199"/>
        </w:trPr>
        <w:tc>
          <w:tcPr>
            <w:tcW w:w="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48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6"/>
                <w:szCs w:val="16"/>
                <w:color w:val="auto"/>
              </w:rPr>
              <w:t>Commitments and contingency</w:t>
            </w:r>
          </w:p>
        </w:tc>
        <w:tc>
          <w:tcPr>
            <w:tcW w:w="1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EEEEEE"/>
          </w:tcPr>
          <w:p>
            <w:pPr>
              <w:spacing w:after="0"/>
              <w:rPr>
                <w:sz w:val="17"/>
                <w:szCs w:val="17"/>
                <w:color w:val="auto"/>
              </w:rPr>
            </w:pPr>
          </w:p>
        </w:tc>
        <w:tc>
          <w:tcPr>
            <w:tcW w:w="13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48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189"/>
        </w:trPr>
        <w:tc>
          <w:tcPr>
            <w:tcW w:w="748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Preferred stock, $0.001 par value; 20,000,000 shares authorized; 0 shares issued and outstanding at March 31,</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3"/>
        </w:trPr>
        <w:tc>
          <w:tcPr>
            <w:tcW w:w="748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2026 and June 30, 2025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748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Common stock, $0.001 par value; 180,000,000 shares authorized; 1,773,999 and 1,045,330 shares issued and</w:t>
            </w:r>
          </w:p>
        </w:tc>
        <w:tc>
          <w:tcPr>
            <w:tcW w:w="1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130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12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r>
      <w:tr>
        <w:trPr>
          <w:trHeight w:val="216"/>
        </w:trPr>
        <w:tc>
          <w:tcPr>
            <w:tcW w:w="7480" w:type="dxa"/>
            <w:vAlign w:val="bottom"/>
            <w:gridSpan w:val="3"/>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outstanding at March 31, 2026 and June 30, 2025</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1,774</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1,045</w:t>
            </w:r>
          </w:p>
        </w:tc>
        <w:tc>
          <w:tcPr>
            <w:tcW w:w="80" w:type="dxa"/>
            <w:vAlign w:val="bottom"/>
            <w:shd w:val="clear" w:color="auto" w:fill="EEEEEE"/>
          </w:tcPr>
          <w:p>
            <w:pPr>
              <w:spacing w:after="0"/>
              <w:rPr>
                <w:sz w:val="18"/>
                <w:szCs w:val="18"/>
                <w:color w:val="auto"/>
              </w:rPr>
            </w:pPr>
          </w:p>
        </w:tc>
      </w:tr>
      <w:tr>
        <w:trPr>
          <w:trHeight w:val="203"/>
        </w:trPr>
        <w:tc>
          <w:tcPr>
            <w:tcW w:w="748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37,528,080</w:t>
            </w:r>
          </w:p>
        </w:tc>
        <w:tc>
          <w:tcPr>
            <w:tcW w:w="30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33,481,201</w:t>
            </w:r>
          </w:p>
        </w:tc>
        <w:tc>
          <w:tcPr>
            <w:tcW w:w="80" w:type="dxa"/>
            <w:vAlign w:val="bottom"/>
          </w:tcPr>
          <w:p>
            <w:pPr>
              <w:spacing w:after="0"/>
              <w:rPr>
                <w:sz w:val="17"/>
                <w:szCs w:val="17"/>
                <w:color w:val="auto"/>
              </w:rPr>
            </w:pPr>
          </w:p>
        </w:tc>
      </w:tr>
      <w:tr>
        <w:trPr>
          <w:trHeight w:val="203"/>
        </w:trPr>
        <w:tc>
          <w:tcPr>
            <w:tcW w:w="748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Accumulated deficits</w:t>
            </w:r>
          </w:p>
        </w:tc>
        <w:tc>
          <w:tcPr>
            <w:tcW w:w="1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(20,380,696)</w:t>
            </w:r>
          </w:p>
        </w:tc>
        <w:tc>
          <w:tcPr>
            <w:tcW w:w="300" w:type="dxa"/>
            <w:vAlign w:val="bottom"/>
            <w:shd w:val="clear" w:color="auto" w:fill="EEEEEE"/>
          </w:tcPr>
          <w:p>
            <w:pPr>
              <w:spacing w:after="0"/>
              <w:rPr>
                <w:sz w:val="17"/>
                <w:szCs w:val="17"/>
                <w:color w:val="auto"/>
              </w:rPr>
            </w:pPr>
          </w:p>
        </w:tc>
        <w:tc>
          <w:tcPr>
            <w:tcW w:w="1380" w:type="dxa"/>
            <w:vAlign w:val="bottom"/>
            <w:gridSpan w:val="3"/>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(15,198,889)</w:t>
            </w:r>
          </w:p>
        </w:tc>
      </w:tr>
      <w:tr>
        <w:trPr>
          <w:trHeight w:val="203"/>
        </w:trPr>
        <w:tc>
          <w:tcPr>
            <w:tcW w:w="748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Non-controlling interest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(47,462)</w:t>
            </w:r>
          </w:p>
        </w:tc>
        <w:tc>
          <w:tcPr>
            <w:tcW w:w="300" w:type="dxa"/>
            <w:vAlign w:val="bottom"/>
          </w:tcPr>
          <w:p>
            <w:pPr>
              <w:spacing w:after="0"/>
              <w:rPr>
                <w:sz w:val="17"/>
                <w:szCs w:val="17"/>
                <w:color w:val="auto"/>
              </w:rPr>
            </w:pP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(47,462)</w:t>
            </w:r>
          </w:p>
        </w:tc>
      </w:tr>
      <w:tr>
        <w:trPr>
          <w:trHeight w:val="216"/>
        </w:trPr>
        <w:tc>
          <w:tcPr>
            <w:tcW w:w="748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48,928</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40,107</w:t>
            </w:r>
          </w:p>
        </w:tc>
        <w:tc>
          <w:tcPr>
            <w:tcW w:w="80" w:type="dxa"/>
            <w:vAlign w:val="bottom"/>
            <w:shd w:val="clear" w:color="auto" w:fill="EEEEEE"/>
          </w:tcPr>
          <w:p>
            <w:pPr>
              <w:spacing w:after="0"/>
              <w:rPr>
                <w:sz w:val="18"/>
                <w:szCs w:val="18"/>
                <w:color w:val="auto"/>
              </w:rPr>
            </w:pPr>
          </w:p>
        </w:tc>
      </w:tr>
      <w:tr>
        <w:trPr>
          <w:trHeight w:val="196"/>
        </w:trPr>
        <w:tc>
          <w:tcPr>
            <w:tcW w:w="7480" w:type="dxa"/>
            <w:vAlign w:val="bottom"/>
            <w:tcBorders>
              <w:bottom w:val="single" w:sz="8" w:color="EEEEEE"/>
            </w:tcBorders>
            <w:gridSpan w:val="3"/>
          </w:tcPr>
          <w:p>
            <w:pPr>
              <w:ind w:left="3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bottom w:val="single" w:sz="8" w:color="EEEEEE"/>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17,150,624</w:t>
            </w:r>
          </w:p>
        </w:tc>
        <w:tc>
          <w:tcPr>
            <w:tcW w:w="320" w:type="dxa"/>
            <w:vAlign w:val="bottom"/>
            <w:tcBorders>
              <w:bottom w:val="single" w:sz="8" w:color="EEEEEE"/>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18,276,002</w:t>
            </w:r>
          </w:p>
        </w:tc>
        <w:tc>
          <w:tcPr>
            <w:tcW w:w="2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r>
      <w:tr>
        <w:trPr>
          <w:trHeight w:val="196"/>
        </w:trPr>
        <w:tc>
          <w:tcPr>
            <w:tcW w:w="60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55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26"/>
        </w:trPr>
        <w:tc>
          <w:tcPr>
            <w:tcW w:w="748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31,306,588</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35,642,767</w:t>
            </w:r>
          </w:p>
        </w:tc>
        <w:tc>
          <w:tcPr>
            <w:tcW w:w="80" w:type="dxa"/>
            <w:vAlign w:val="bottom"/>
          </w:tcPr>
          <w:p>
            <w:pPr>
              <w:spacing w:after="0"/>
              <w:rPr>
                <w:sz w:val="19"/>
                <w:szCs w:val="19"/>
                <w:color w:val="auto"/>
              </w:rPr>
            </w:pPr>
          </w:p>
        </w:tc>
      </w:tr>
      <w:tr>
        <w:trPr>
          <w:trHeight w:val="20"/>
        </w:trPr>
        <w:tc>
          <w:tcPr>
            <w:tcW w:w="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iPower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Three and Nine Months Ended March 31, 2026 and 2025</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40" w:type="dxa"/>
            <w:vAlign w:val="bottom"/>
            <w:gridSpan w:val="6"/>
          </w:tcPr>
          <w:p>
            <w:pPr>
              <w:jc w:val="right"/>
              <w:ind w:right="540"/>
              <w:spacing w:after="0"/>
              <w:rPr>
                <w:sz w:val="20"/>
                <w:szCs w:val="20"/>
                <w:color w:val="auto"/>
              </w:rPr>
            </w:pPr>
            <w:r>
              <w:rPr>
                <w:rFonts w:ascii="Times New Roman" w:cs="Times New Roman" w:eastAsia="Times New Roman" w:hAnsi="Times New Roman"/>
                <w:sz w:val="16"/>
                <w:szCs w:val="16"/>
                <w:color w:val="auto"/>
              </w:rPr>
              <w:t>For the Three Months Ended March 31,</w:t>
            </w:r>
          </w:p>
        </w:tc>
        <w:tc>
          <w:tcPr>
            <w:tcW w:w="160" w:type="dxa"/>
            <w:vAlign w:val="bottom"/>
          </w:tcPr>
          <w:p>
            <w:pPr>
              <w:spacing w:after="0"/>
              <w:rPr>
                <w:sz w:val="18"/>
                <w:szCs w:val="18"/>
                <w:color w:val="auto"/>
              </w:rPr>
            </w:pPr>
          </w:p>
        </w:tc>
        <w:tc>
          <w:tcPr>
            <w:tcW w:w="2940" w:type="dxa"/>
            <w:vAlign w:val="bottom"/>
            <w:gridSpan w:val="6"/>
          </w:tcPr>
          <w:p>
            <w:pPr>
              <w:jc w:val="right"/>
              <w:ind w:right="300"/>
              <w:spacing w:after="0"/>
              <w:rPr>
                <w:sz w:val="20"/>
                <w:szCs w:val="20"/>
                <w:color w:val="auto"/>
              </w:rPr>
            </w:pPr>
            <w:r>
              <w:rPr>
                <w:rFonts w:ascii="Times New Roman" w:cs="Times New Roman" w:eastAsia="Times New Roman" w:hAnsi="Times New Roman"/>
                <w:sz w:val="16"/>
                <w:szCs w:val="16"/>
                <w:color w:val="auto"/>
              </w:rPr>
              <w:t>For the Nine Months Ended March 31,</w:t>
            </w:r>
          </w:p>
        </w:tc>
      </w:tr>
      <w:tr>
        <w:trPr>
          <w:trHeight w:val="216"/>
        </w:trPr>
        <w:tc>
          <w:tcPr>
            <w:tcW w:w="4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2025</w:t>
            </w: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8"/>
                <w:szCs w:val="18"/>
                <w:color w:val="auto"/>
              </w:rPr>
            </w:pPr>
          </w:p>
        </w:tc>
      </w:tr>
      <w:tr>
        <w:trPr>
          <w:trHeight w:val="202"/>
        </w:trPr>
        <w:tc>
          <w:tcPr>
            <w:tcW w:w="4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(Unaudited)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(Unaudited)</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(Unaudited)</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tcPr>
          <w:p>
            <w:pPr>
              <w:spacing w:after="0"/>
              <w:rPr>
                <w:sz w:val="17"/>
                <w:szCs w:val="17"/>
                <w:color w:val="auto"/>
              </w:rPr>
            </w:pPr>
          </w:p>
        </w:tc>
      </w:tr>
      <w:tr>
        <w:trPr>
          <w:trHeight w:val="203"/>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REVENUES</w:t>
            </w:r>
          </w:p>
        </w:tc>
        <w:tc>
          <w:tcPr>
            <w:tcW w:w="16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03"/>
        </w:trPr>
        <w:tc>
          <w:tcPr>
            <w:tcW w:w="4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Product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3,498,681</w:t>
            </w:r>
          </w:p>
        </w:tc>
        <w:tc>
          <w:tcPr>
            <w:tcW w:w="200" w:type="dxa"/>
            <w:vAlign w:val="bottom"/>
          </w:tcPr>
          <w:p>
            <w:pPr>
              <w:spacing w:after="0"/>
              <w:rPr>
                <w:sz w:val="17"/>
                <w:szCs w:val="17"/>
                <w:color w:val="auto"/>
              </w:rPr>
            </w:pPr>
          </w:p>
        </w:tc>
        <w:tc>
          <w:tcPr>
            <w:tcW w:w="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15,018,227</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16,990,959</w:t>
            </w:r>
          </w:p>
        </w:tc>
        <w:tc>
          <w:tcPr>
            <w:tcW w:w="180" w:type="dxa"/>
            <w:vAlign w:val="bottom"/>
          </w:tcPr>
          <w:p>
            <w:pPr>
              <w:spacing w:after="0"/>
              <w:rPr>
                <w:sz w:val="17"/>
                <w:szCs w:val="17"/>
                <w:color w:val="auto"/>
              </w:rPr>
            </w:pP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49,422,823</w:t>
            </w:r>
          </w:p>
        </w:tc>
      </w:tr>
      <w:tr>
        <w:trPr>
          <w:trHeight w:val="216"/>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Service income</w:t>
            </w:r>
          </w:p>
        </w:tc>
        <w:tc>
          <w:tcPr>
            <w:tcW w:w="16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6"/>
                <w:szCs w:val="16"/>
                <w:color w:val="auto"/>
              </w:rPr>
              <w:t>1,023,445</w:t>
            </w:r>
          </w:p>
        </w:tc>
        <w:tc>
          <w:tcPr>
            <w:tcW w:w="160" w:type="dxa"/>
            <w:vAlign w:val="bottom"/>
            <w:shd w:val="clear" w:color="auto" w:fill="EEEEEE"/>
          </w:tcPr>
          <w:p>
            <w:pPr>
              <w:spacing w:after="0"/>
              <w:rPr>
                <w:sz w:val="18"/>
                <w:szCs w:val="18"/>
                <w:color w:val="auto"/>
              </w:rPr>
            </w:pPr>
          </w:p>
        </w:tc>
        <w:tc>
          <w:tcPr>
            <w:tcW w:w="1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1,532,722</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3,222,236</w:t>
            </w:r>
          </w:p>
        </w:tc>
      </w:tr>
      <w:tr>
        <w:trPr>
          <w:trHeight w:val="196"/>
        </w:trPr>
        <w:tc>
          <w:tcPr>
            <w:tcW w:w="4740" w:type="dxa"/>
            <w:vAlign w:val="bottom"/>
            <w:tcBorders>
              <w:bottom w:val="single" w:sz="8" w:color="EEEEEE"/>
            </w:tcBorders>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3,498,681</w:t>
            </w:r>
          </w:p>
        </w:tc>
        <w:tc>
          <w:tcPr>
            <w:tcW w:w="2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16,041,672</w:t>
            </w:r>
          </w:p>
        </w:tc>
        <w:tc>
          <w:tcPr>
            <w:tcW w:w="320" w:type="dxa"/>
            <w:vAlign w:val="bottom"/>
            <w:tcBorders>
              <w:bottom w:val="single" w:sz="8" w:color="EEEEEE"/>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18,523,681</w:t>
            </w:r>
          </w:p>
        </w:tc>
        <w:tc>
          <w:tcPr>
            <w:tcW w:w="18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52,645,059</w:t>
            </w:r>
          </w:p>
        </w:tc>
        <w:tc>
          <w:tcPr>
            <w:tcW w:w="100" w:type="dxa"/>
            <w:vAlign w:val="bottom"/>
            <w:tcBorders>
              <w:bottom w:val="single" w:sz="8" w:color="EEEEEE"/>
            </w:tcBorders>
          </w:tcPr>
          <w:p>
            <w:pPr>
              <w:spacing w:after="0"/>
              <w:rPr>
                <w:sz w:val="17"/>
                <w:szCs w:val="17"/>
                <w:color w:val="auto"/>
              </w:rPr>
            </w:pPr>
          </w:p>
        </w:tc>
      </w:tr>
      <w:tr>
        <w:trPr>
          <w:trHeight w:val="196"/>
        </w:trPr>
        <w:tc>
          <w:tcPr>
            <w:tcW w:w="47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0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Product costs</w:t>
            </w:r>
          </w:p>
        </w:tc>
        <w:tc>
          <w:tcPr>
            <w:tcW w:w="160" w:type="dxa"/>
            <w:vAlign w:val="bottom"/>
            <w:shd w:val="clear" w:color="auto" w:fill="EEEEEE"/>
          </w:tcPr>
          <w:p>
            <w:pPr>
              <w:spacing w:after="0"/>
              <w:rPr>
                <w:sz w:val="17"/>
                <w:szCs w:val="17"/>
                <w:color w:val="auto"/>
              </w:rPr>
            </w:pPr>
          </w:p>
        </w:tc>
        <w:tc>
          <w:tcPr>
            <w:tcW w:w="12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2,743,132</w:t>
            </w: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50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6"/>
                <w:szCs w:val="16"/>
                <w:color w:val="auto"/>
              </w:rPr>
              <w:t>8,306,217</w:t>
            </w:r>
          </w:p>
        </w:tc>
        <w:tc>
          <w:tcPr>
            <w:tcW w:w="160" w:type="dxa"/>
            <w:vAlign w:val="bottom"/>
            <w:shd w:val="clear" w:color="auto" w:fill="EEEEEE"/>
          </w:tcPr>
          <w:p>
            <w:pPr>
              <w:spacing w:after="0"/>
              <w:rPr>
                <w:sz w:val="17"/>
                <w:szCs w:val="17"/>
                <w:color w:val="auto"/>
              </w:rPr>
            </w:pPr>
          </w:p>
        </w:tc>
        <w:tc>
          <w:tcPr>
            <w:tcW w:w="1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10,353,516</w:t>
            </w: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2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27,043,417</w:t>
            </w:r>
          </w:p>
        </w:tc>
      </w:tr>
      <w:tr>
        <w:trPr>
          <w:trHeight w:val="213"/>
        </w:trPr>
        <w:tc>
          <w:tcPr>
            <w:tcW w:w="4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Service costs</w:t>
            </w:r>
          </w:p>
        </w:tc>
        <w:tc>
          <w:tcPr>
            <w:tcW w:w="160" w:type="dxa"/>
            <w:vAlign w:val="bottom"/>
          </w:tcPr>
          <w:p>
            <w:pPr>
              <w:spacing w:after="0"/>
              <w:rPr>
                <w:sz w:val="18"/>
                <w:szCs w:val="18"/>
                <w:color w:val="auto"/>
              </w:rPr>
            </w:pPr>
          </w:p>
        </w:tc>
        <w:tc>
          <w:tcPr>
            <w:tcW w:w="14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879,995</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1,332,681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2,704,737</w:t>
            </w:r>
          </w:p>
        </w:tc>
      </w:tr>
      <w:tr>
        <w:trPr>
          <w:trHeight w:val="199"/>
        </w:trPr>
        <w:tc>
          <w:tcPr>
            <w:tcW w:w="4740" w:type="dxa"/>
            <w:vAlign w:val="bottom"/>
            <w:tcBorders>
              <w:top w:val="single" w:sz="8" w:color="EEEEEE"/>
            </w:tcBorders>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Total cost of revenues</w:t>
            </w:r>
          </w:p>
        </w:tc>
        <w:tc>
          <w:tcPr>
            <w:tcW w:w="160" w:type="dxa"/>
            <w:vAlign w:val="bottom"/>
            <w:tcBorders>
              <w:top w:val="single" w:sz="8" w:color="auto"/>
              <w:bottom w:val="single" w:sz="8" w:color="auto"/>
            </w:tcBorders>
            <w:shd w:val="clear" w:color="auto" w:fill="EEEEEE"/>
          </w:tcPr>
          <w:p>
            <w:pPr>
              <w:spacing w:after="0"/>
              <w:rPr>
                <w:sz w:val="17"/>
                <w:szCs w:val="17"/>
                <w:color w:val="auto"/>
              </w:rPr>
            </w:pP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2,743,132</w:t>
            </w:r>
          </w:p>
        </w:tc>
        <w:tc>
          <w:tcPr>
            <w:tcW w:w="20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200" w:type="dxa"/>
            <w:vAlign w:val="bottom"/>
            <w:tcBorders>
              <w:top w:val="single" w:sz="8" w:color="auto"/>
              <w:bottom w:val="single" w:sz="8" w:color="auto"/>
            </w:tcBorders>
            <w:shd w:val="clear" w:color="auto" w:fill="EEEEEE"/>
          </w:tcPr>
          <w:p>
            <w:pPr>
              <w:spacing w:after="0"/>
              <w:rPr>
                <w:sz w:val="17"/>
                <w:szCs w:val="17"/>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9,186,212</w:t>
            </w:r>
          </w:p>
        </w:tc>
        <w:tc>
          <w:tcPr>
            <w:tcW w:w="32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auto"/>
              <w:bottom w:val="single" w:sz="8" w:color="auto"/>
            </w:tcBorders>
            <w:shd w:val="clear" w:color="auto" w:fill="EEEEEE"/>
          </w:tcPr>
          <w:p>
            <w:pPr>
              <w:spacing w:after="0"/>
              <w:rPr>
                <w:sz w:val="17"/>
                <w:szCs w:val="17"/>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11,686,197</w:t>
            </w:r>
          </w:p>
        </w:tc>
        <w:tc>
          <w:tcPr>
            <w:tcW w:w="18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bottom w:val="single" w:sz="8" w:color="auto"/>
            </w:tcBorders>
            <w:shd w:val="clear" w:color="auto" w:fill="EEEEEE"/>
          </w:tcPr>
          <w:p>
            <w:pPr>
              <w:spacing w:after="0"/>
              <w:rPr>
                <w:sz w:val="17"/>
                <w:szCs w:val="17"/>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29,748,154</w:t>
            </w:r>
          </w:p>
        </w:tc>
        <w:tc>
          <w:tcPr>
            <w:tcW w:w="100" w:type="dxa"/>
            <w:vAlign w:val="bottom"/>
            <w:tcBorders>
              <w:top w:val="single" w:sz="8" w:color="EEEEEE"/>
            </w:tcBorders>
            <w:shd w:val="clear" w:color="auto" w:fill="EEEEEE"/>
          </w:tcPr>
          <w:p>
            <w:pPr>
              <w:spacing w:after="0"/>
              <w:rPr>
                <w:sz w:val="17"/>
                <w:szCs w:val="17"/>
                <w:color w:val="auto"/>
              </w:rPr>
            </w:pPr>
          </w:p>
        </w:tc>
      </w:tr>
      <w:tr>
        <w:trPr>
          <w:trHeight w:val="196"/>
        </w:trPr>
        <w:tc>
          <w:tcPr>
            <w:tcW w:w="4740" w:type="dxa"/>
            <w:vAlign w:val="bottom"/>
            <w:tcBorders>
              <w:bottom w:val="single" w:sz="8" w:color="EEEEEE"/>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r>
      <w:tr>
        <w:trPr>
          <w:trHeight w:val="19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tcBorders>
              <w:bottom w:val="single" w:sz="8" w:color="auto"/>
            </w:tcBorders>
            <w:shd w:val="clear" w:color="auto" w:fill="EEEEEE"/>
          </w:tcPr>
          <w:p>
            <w:pPr>
              <w:spacing w:after="0"/>
              <w:rPr>
                <w:sz w:val="17"/>
                <w:szCs w:val="17"/>
                <w:color w:val="auto"/>
              </w:rPr>
            </w:pPr>
          </w:p>
        </w:tc>
        <w:tc>
          <w:tcPr>
            <w:tcW w:w="12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755,549</w:t>
            </w: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00" w:type="dxa"/>
            <w:vAlign w:val="bottom"/>
            <w:tcBorders>
              <w:bottom w:val="single" w:sz="8" w:color="auto"/>
            </w:tcBorders>
            <w:shd w:val="clear" w:color="auto" w:fill="EEEEEE"/>
          </w:tcPr>
          <w:p>
            <w:pPr>
              <w:spacing w:after="0"/>
              <w:rPr>
                <w:sz w:val="17"/>
                <w:szCs w:val="17"/>
                <w:color w:val="auto"/>
              </w:rPr>
            </w:pPr>
          </w:p>
        </w:tc>
        <w:tc>
          <w:tcPr>
            <w:tcW w:w="11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6,855,460</w:t>
            </w:r>
          </w:p>
        </w:tc>
        <w:tc>
          <w:tcPr>
            <w:tcW w:w="320" w:type="dxa"/>
            <w:vAlign w:val="bottom"/>
            <w:shd w:val="clear" w:color="auto" w:fill="EEEEEE"/>
          </w:tcPr>
          <w:p>
            <w:pPr>
              <w:spacing w:after="0"/>
              <w:rPr>
                <w:sz w:val="17"/>
                <w:szCs w:val="17"/>
                <w:color w:val="auto"/>
              </w:rPr>
            </w:pPr>
          </w:p>
        </w:tc>
        <w:tc>
          <w:tcPr>
            <w:tcW w:w="160" w:type="dxa"/>
            <w:vAlign w:val="bottom"/>
            <w:tcBorders>
              <w:bottom w:val="single" w:sz="8" w:color="auto"/>
            </w:tcBorders>
            <w:shd w:val="clear" w:color="auto" w:fill="EEEEEE"/>
          </w:tcPr>
          <w:p>
            <w:pPr>
              <w:spacing w:after="0"/>
              <w:rPr>
                <w:sz w:val="17"/>
                <w:szCs w:val="17"/>
                <w:color w:val="auto"/>
              </w:rPr>
            </w:pPr>
          </w:p>
        </w:tc>
        <w:tc>
          <w:tcPr>
            <w:tcW w:w="11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6,837,484</w:t>
            </w: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 w:type="dxa"/>
            <w:vAlign w:val="bottom"/>
            <w:tcBorders>
              <w:bottom w:val="single" w:sz="8" w:color="auto"/>
            </w:tcBorders>
            <w:shd w:val="clear" w:color="auto" w:fill="EEEEEE"/>
          </w:tcPr>
          <w:p>
            <w:pPr>
              <w:spacing w:after="0"/>
              <w:rPr>
                <w:sz w:val="17"/>
                <w:szCs w:val="17"/>
                <w:color w:val="auto"/>
              </w:rPr>
            </w:pPr>
          </w:p>
        </w:tc>
        <w:tc>
          <w:tcPr>
            <w:tcW w:w="11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22,896,905</w:t>
            </w:r>
          </w:p>
        </w:tc>
        <w:tc>
          <w:tcPr>
            <w:tcW w:w="100" w:type="dxa"/>
            <w:vAlign w:val="bottom"/>
            <w:shd w:val="clear" w:color="auto" w:fill="EEEEEE"/>
          </w:tcPr>
          <w:p>
            <w:pPr>
              <w:spacing w:after="0"/>
              <w:rPr>
                <w:sz w:val="17"/>
                <w:szCs w:val="17"/>
                <w:color w:val="auto"/>
              </w:rPr>
            </w:pPr>
          </w:p>
        </w:tc>
      </w:tr>
      <w:tr>
        <w:trPr>
          <w:trHeight w:val="196"/>
        </w:trPr>
        <w:tc>
          <w:tcPr>
            <w:tcW w:w="4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03"/>
        </w:trPr>
        <w:tc>
          <w:tcPr>
            <w:tcW w:w="4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Selling and fulfillment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991,037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5,373,932</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7,348,039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15,687,013</w:t>
            </w:r>
          </w:p>
        </w:tc>
      </w:tr>
      <w:tr>
        <w:trPr>
          <w:trHeight w:val="216"/>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shd w:val="clear" w:color="auto" w:fill="EEEEEE"/>
          </w:tcPr>
          <w:p>
            <w:pPr>
              <w:spacing w:after="0"/>
              <w:rPr>
                <w:sz w:val="18"/>
                <w:szCs w:val="18"/>
                <w:color w:val="auto"/>
              </w:rPr>
            </w:pPr>
          </w:p>
        </w:tc>
        <w:tc>
          <w:tcPr>
            <w:tcW w:w="12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908,773</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6"/>
                <w:szCs w:val="16"/>
                <w:color w:val="auto"/>
              </w:rPr>
              <w:t>1,816,032</w:t>
            </w:r>
          </w:p>
        </w:tc>
        <w:tc>
          <w:tcPr>
            <w:tcW w:w="160" w:type="dxa"/>
            <w:vAlign w:val="bottom"/>
            <w:shd w:val="clear" w:color="auto" w:fill="EEEEEE"/>
          </w:tcPr>
          <w:p>
            <w:pPr>
              <w:spacing w:after="0"/>
              <w:rPr>
                <w:sz w:val="18"/>
                <w:szCs w:val="18"/>
                <w:color w:val="auto"/>
              </w:rPr>
            </w:pPr>
          </w:p>
        </w:tc>
        <w:tc>
          <w:tcPr>
            <w:tcW w:w="1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4,630,041</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10,033,958</w:t>
            </w:r>
          </w:p>
        </w:tc>
      </w:tr>
      <w:tr>
        <w:trPr>
          <w:trHeight w:val="196"/>
        </w:trPr>
        <w:tc>
          <w:tcPr>
            <w:tcW w:w="4740" w:type="dxa"/>
            <w:vAlign w:val="bottom"/>
            <w:tcBorders>
              <w:bottom w:val="single" w:sz="8" w:color="EEEEEE"/>
            </w:tcBorders>
          </w:tcPr>
          <w:p>
            <w:pPr>
              <w:ind w:left="3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1,899,810</w:t>
            </w:r>
          </w:p>
        </w:tc>
        <w:tc>
          <w:tcPr>
            <w:tcW w:w="2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7,189,964</w:t>
            </w:r>
          </w:p>
        </w:tc>
        <w:tc>
          <w:tcPr>
            <w:tcW w:w="320" w:type="dxa"/>
            <w:vAlign w:val="bottom"/>
            <w:tcBorders>
              <w:bottom w:val="single" w:sz="8" w:color="EEEEEE"/>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11,978,080</w:t>
            </w:r>
          </w:p>
        </w:tc>
        <w:tc>
          <w:tcPr>
            <w:tcW w:w="18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25,720,971</w:t>
            </w:r>
          </w:p>
        </w:tc>
        <w:tc>
          <w:tcPr>
            <w:tcW w:w="100" w:type="dxa"/>
            <w:vAlign w:val="bottom"/>
            <w:tcBorders>
              <w:bottom w:val="single" w:sz="8" w:color="EEEEEE"/>
            </w:tcBorders>
          </w:tcPr>
          <w:p>
            <w:pPr>
              <w:spacing w:after="0"/>
              <w:rPr>
                <w:sz w:val="17"/>
                <w:szCs w:val="17"/>
                <w:color w:val="auto"/>
              </w:rPr>
            </w:pPr>
          </w:p>
        </w:tc>
      </w:tr>
      <w:tr>
        <w:trPr>
          <w:trHeight w:val="196"/>
        </w:trPr>
        <w:tc>
          <w:tcPr>
            <w:tcW w:w="47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60" w:type="dxa"/>
            <w:vAlign w:val="bottom"/>
          </w:tcPr>
          <w:p>
            <w:pPr>
              <w:spacing w:after="0"/>
              <w:rPr>
                <w:sz w:val="18"/>
                <w:szCs w:val="18"/>
                <w:color w:val="auto"/>
              </w:rPr>
            </w:pPr>
          </w:p>
        </w:tc>
        <w:tc>
          <w:tcPr>
            <w:tcW w:w="14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(1,144,261)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(334,504)</w:t>
            </w:r>
          </w:p>
        </w:tc>
        <w:tc>
          <w:tcPr>
            <w:tcW w:w="1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(5,140,596)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(2,824,066)</w:t>
            </w:r>
          </w:p>
        </w:tc>
      </w:tr>
      <w:tr>
        <w:trPr>
          <w:trHeight w:val="199"/>
        </w:trPr>
        <w:tc>
          <w:tcPr>
            <w:tcW w:w="474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auto"/>
            </w:tcBorders>
            <w:shd w:val="clear" w:color="auto" w:fill="EEEEEE"/>
          </w:tcPr>
          <w:p>
            <w:pPr>
              <w:spacing w:after="0"/>
              <w:rPr>
                <w:sz w:val="17"/>
                <w:szCs w:val="17"/>
                <w:color w:val="auto"/>
              </w:rPr>
            </w:pPr>
          </w:p>
        </w:tc>
        <w:tc>
          <w:tcPr>
            <w:tcW w:w="1200" w:type="dxa"/>
            <w:vAlign w:val="bottom"/>
            <w:tcBorders>
              <w:top w:val="single" w:sz="8" w:color="auto"/>
            </w:tcBorders>
            <w:shd w:val="clear" w:color="auto" w:fill="EEEEEE"/>
          </w:tcPr>
          <w:p>
            <w:pPr>
              <w:spacing w:after="0"/>
              <w:rPr>
                <w:sz w:val="17"/>
                <w:szCs w:val="17"/>
                <w:color w:val="auto"/>
              </w:rPr>
            </w:pPr>
          </w:p>
        </w:tc>
        <w:tc>
          <w:tcPr>
            <w:tcW w:w="20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200" w:type="dxa"/>
            <w:vAlign w:val="bottom"/>
            <w:tcBorders>
              <w:top w:val="single" w:sz="8" w:color="auto"/>
            </w:tcBorders>
            <w:shd w:val="clear" w:color="auto" w:fill="EEEEEE"/>
          </w:tcPr>
          <w:p>
            <w:pPr>
              <w:spacing w:after="0"/>
              <w:rPr>
                <w:sz w:val="17"/>
                <w:szCs w:val="17"/>
                <w:color w:val="auto"/>
              </w:rPr>
            </w:pPr>
          </w:p>
        </w:tc>
        <w:tc>
          <w:tcPr>
            <w:tcW w:w="118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auto"/>
            </w:tcBorders>
            <w:shd w:val="clear" w:color="auto" w:fill="EEEEEE"/>
          </w:tcPr>
          <w:p>
            <w:pPr>
              <w:spacing w:after="0"/>
              <w:rPr>
                <w:sz w:val="17"/>
                <w:szCs w:val="17"/>
                <w:color w:val="auto"/>
              </w:rPr>
            </w:pPr>
          </w:p>
        </w:tc>
        <w:tc>
          <w:tcPr>
            <w:tcW w:w="1180" w:type="dxa"/>
            <w:vAlign w:val="bottom"/>
            <w:tcBorders>
              <w:top w:val="single" w:sz="8" w:color="auto"/>
            </w:tcBorders>
            <w:shd w:val="clear" w:color="auto" w:fill="EEEEEE"/>
          </w:tcPr>
          <w:p>
            <w:pPr>
              <w:spacing w:after="0"/>
              <w:rPr>
                <w:sz w:val="17"/>
                <w:szCs w:val="17"/>
                <w:color w:val="auto"/>
              </w:rPr>
            </w:pPr>
          </w:p>
        </w:tc>
        <w:tc>
          <w:tcPr>
            <w:tcW w:w="18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116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r>
      <w:tr>
        <w:trPr>
          <w:trHeight w:val="20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Interest expenses</w:t>
            </w:r>
          </w:p>
        </w:tc>
        <w:tc>
          <w:tcPr>
            <w:tcW w:w="160" w:type="dxa"/>
            <w:vAlign w:val="bottom"/>
            <w:shd w:val="clear" w:color="auto" w:fill="EEEEEE"/>
          </w:tcPr>
          <w:p>
            <w:pPr>
              <w:spacing w:after="0"/>
              <w:rPr>
                <w:sz w:val="17"/>
                <w:szCs w:val="17"/>
                <w:color w:val="auto"/>
              </w:rPr>
            </w:pPr>
          </w:p>
        </w:tc>
        <w:tc>
          <w:tcPr>
            <w:tcW w:w="1400" w:type="dxa"/>
            <w:vAlign w:val="bottom"/>
            <w:gridSpan w:val="2"/>
            <w:shd w:val="clear" w:color="auto" w:fill="EEEEEE"/>
          </w:tcPr>
          <w:p>
            <w:pPr>
              <w:jc w:val="right"/>
              <w:ind w:right="59"/>
              <w:spacing w:after="0"/>
              <w:rPr>
                <w:sz w:val="20"/>
                <w:szCs w:val="20"/>
                <w:color w:val="auto"/>
              </w:rPr>
            </w:pPr>
            <w:r>
              <w:rPr>
                <w:rFonts w:ascii="Times New Roman" w:cs="Times New Roman" w:eastAsia="Times New Roman" w:hAnsi="Times New Roman"/>
                <w:sz w:val="16"/>
                <w:szCs w:val="16"/>
                <w:color w:val="auto"/>
              </w:rPr>
              <w:t>(432,167)</w:t>
            </w:r>
          </w:p>
        </w:tc>
        <w:tc>
          <w:tcPr>
            <w:tcW w:w="1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5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(81,968)</w:t>
            </w:r>
          </w:p>
        </w:tc>
        <w:tc>
          <w:tcPr>
            <w:tcW w:w="160" w:type="dxa"/>
            <w:vAlign w:val="bottom"/>
            <w:shd w:val="clear" w:color="auto" w:fill="EEEEEE"/>
          </w:tcPr>
          <w:p>
            <w:pPr>
              <w:spacing w:after="0"/>
              <w:rPr>
                <w:sz w:val="17"/>
                <w:szCs w:val="17"/>
                <w:color w:val="auto"/>
              </w:rPr>
            </w:pP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(611,108)</w:t>
            </w:r>
          </w:p>
        </w:tc>
        <w:tc>
          <w:tcPr>
            <w:tcW w:w="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2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(362,602)</w:t>
            </w:r>
          </w:p>
        </w:tc>
      </w:tr>
      <w:tr>
        <w:trPr>
          <w:trHeight w:val="203"/>
        </w:trPr>
        <w:tc>
          <w:tcPr>
            <w:tcW w:w="4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on equity method investment</w:t>
            </w:r>
          </w:p>
        </w:tc>
        <w:tc>
          <w:tcPr>
            <w:tcW w:w="160" w:type="dxa"/>
            <w:vAlign w:val="bottom"/>
          </w:tcPr>
          <w:p>
            <w:pPr>
              <w:spacing w:after="0"/>
              <w:rPr>
                <w:sz w:val="17"/>
                <w:szCs w:val="17"/>
                <w:color w:val="auto"/>
              </w:rPr>
            </w:pPr>
          </w:p>
        </w:tc>
        <w:tc>
          <w:tcPr>
            <w:tcW w:w="14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(986)</w:t>
            </w:r>
          </w:p>
        </w:tc>
        <w:tc>
          <w:tcPr>
            <w:tcW w:w="16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(2,707)</w:t>
            </w:r>
          </w:p>
        </w:tc>
      </w:tr>
      <w:tr>
        <w:trPr>
          <w:trHeight w:val="203"/>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Loss on deconsolidation of VIE</w:t>
            </w:r>
          </w:p>
        </w:tc>
        <w:tc>
          <w:tcPr>
            <w:tcW w:w="160" w:type="dxa"/>
            <w:vAlign w:val="bottom"/>
            <w:shd w:val="clear" w:color="auto" w:fill="EEEEEE"/>
          </w:tcPr>
          <w:p>
            <w:pPr>
              <w:spacing w:after="0"/>
              <w:rPr>
                <w:sz w:val="17"/>
                <w:szCs w:val="17"/>
                <w:color w:val="auto"/>
              </w:rPr>
            </w:pPr>
          </w:p>
        </w:tc>
        <w:tc>
          <w:tcPr>
            <w:tcW w:w="1400" w:type="dxa"/>
            <w:vAlign w:val="bottom"/>
            <w:gridSpan w:val="2"/>
            <w:shd w:val="clear" w:color="auto" w:fill="EEEEEE"/>
          </w:tcPr>
          <w:p>
            <w:pPr>
              <w:jc w:val="right"/>
              <w:ind w:right="59"/>
              <w:spacing w:after="0"/>
              <w:rPr>
                <w:sz w:val="20"/>
                <w:szCs w:val="20"/>
                <w:color w:val="auto"/>
              </w:rPr>
            </w:pPr>
            <w:r>
              <w:rPr>
                <w:rFonts w:ascii="Times New Roman" w:cs="Times New Roman" w:eastAsia="Times New Roman" w:hAnsi="Times New Roman"/>
                <w:sz w:val="16"/>
                <w:szCs w:val="16"/>
                <w:color w:val="auto"/>
              </w:rPr>
              <w:t>(1,269)</w:t>
            </w:r>
          </w:p>
        </w:tc>
        <w:tc>
          <w:tcPr>
            <w:tcW w:w="1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50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EEEEEE"/>
          </w:tcPr>
          <w:p>
            <w:pPr>
              <w:spacing w:after="0"/>
              <w:rPr>
                <w:sz w:val="17"/>
                <w:szCs w:val="17"/>
                <w:color w:val="auto"/>
              </w:rPr>
            </w:pP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(40,893)</w:t>
            </w:r>
          </w:p>
        </w:tc>
        <w:tc>
          <w:tcPr>
            <w:tcW w:w="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2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Impairment loss -goodwill</w:t>
            </w:r>
          </w:p>
        </w:tc>
        <w:tc>
          <w:tcPr>
            <w:tcW w:w="160" w:type="dxa"/>
            <w:vAlign w:val="bottom"/>
          </w:tcPr>
          <w:p>
            <w:pPr>
              <w:spacing w:after="0"/>
              <w:rPr>
                <w:sz w:val="17"/>
                <w:szCs w:val="17"/>
                <w:color w:val="auto"/>
              </w:rPr>
            </w:pPr>
          </w:p>
        </w:tc>
        <w:tc>
          <w:tcPr>
            <w:tcW w:w="14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(3,034,110)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(3,034,110)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Unrealized gain (loss) on digital assets</w:t>
            </w:r>
          </w:p>
        </w:tc>
        <w:tc>
          <w:tcPr>
            <w:tcW w:w="160" w:type="dxa"/>
            <w:vAlign w:val="bottom"/>
            <w:shd w:val="clear" w:color="auto" w:fill="EEEEEE"/>
          </w:tcPr>
          <w:p>
            <w:pPr>
              <w:spacing w:after="0"/>
              <w:rPr>
                <w:sz w:val="17"/>
                <w:szCs w:val="17"/>
                <w:color w:val="auto"/>
              </w:rPr>
            </w:pPr>
          </w:p>
        </w:tc>
        <w:tc>
          <w:tcPr>
            <w:tcW w:w="1400" w:type="dxa"/>
            <w:vAlign w:val="bottom"/>
            <w:gridSpan w:val="2"/>
            <w:shd w:val="clear" w:color="auto" w:fill="EEEEEE"/>
          </w:tcPr>
          <w:p>
            <w:pPr>
              <w:jc w:val="right"/>
              <w:ind w:right="59"/>
              <w:spacing w:after="0"/>
              <w:rPr>
                <w:sz w:val="20"/>
                <w:szCs w:val="20"/>
                <w:color w:val="auto"/>
              </w:rPr>
            </w:pPr>
            <w:r>
              <w:rPr>
                <w:rFonts w:ascii="Times New Roman" w:cs="Times New Roman" w:eastAsia="Times New Roman" w:hAnsi="Times New Roman"/>
                <w:sz w:val="16"/>
                <w:szCs w:val="16"/>
                <w:color w:val="auto"/>
              </w:rPr>
              <w:t>(549,932)</w:t>
            </w:r>
          </w:p>
        </w:tc>
        <w:tc>
          <w:tcPr>
            <w:tcW w:w="1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50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EEEEEE"/>
          </w:tcPr>
          <w:p>
            <w:pPr>
              <w:spacing w:after="0"/>
              <w:rPr>
                <w:sz w:val="17"/>
                <w:szCs w:val="17"/>
                <w:color w:val="auto"/>
              </w:rPr>
            </w:pP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(544,173)</w:t>
            </w:r>
          </w:p>
        </w:tc>
        <w:tc>
          <w:tcPr>
            <w:tcW w:w="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2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of derivative liability</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89,600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266,200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Gain (Loss) on extinguishment of debt</w:t>
            </w:r>
          </w:p>
        </w:tc>
        <w:tc>
          <w:tcPr>
            <w:tcW w:w="160" w:type="dxa"/>
            <w:vAlign w:val="bottom"/>
            <w:shd w:val="clear" w:color="auto" w:fill="EEEEEE"/>
          </w:tcPr>
          <w:p>
            <w:pPr>
              <w:spacing w:after="0"/>
              <w:rPr>
                <w:sz w:val="17"/>
                <w:szCs w:val="17"/>
                <w:color w:val="auto"/>
              </w:rPr>
            </w:pPr>
          </w:p>
        </w:tc>
        <w:tc>
          <w:tcPr>
            <w:tcW w:w="1400" w:type="dxa"/>
            <w:vAlign w:val="bottom"/>
            <w:gridSpan w:val="2"/>
            <w:shd w:val="clear" w:color="auto" w:fill="EEEEEE"/>
          </w:tcPr>
          <w:p>
            <w:pPr>
              <w:jc w:val="right"/>
              <w:ind w:right="59"/>
              <w:spacing w:after="0"/>
              <w:rPr>
                <w:sz w:val="20"/>
                <w:szCs w:val="20"/>
                <w:color w:val="auto"/>
              </w:rPr>
            </w:pPr>
            <w:r>
              <w:rPr>
                <w:rFonts w:ascii="Times New Roman" w:cs="Times New Roman" w:eastAsia="Times New Roman" w:hAnsi="Times New Roman"/>
                <w:sz w:val="16"/>
                <w:szCs w:val="16"/>
                <w:color w:val="auto"/>
              </w:rPr>
              <w:t>(539,634)</w:t>
            </w:r>
          </w:p>
        </w:tc>
        <w:tc>
          <w:tcPr>
            <w:tcW w:w="1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50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EEEEEE"/>
          </w:tcPr>
          <w:p>
            <w:pPr>
              <w:spacing w:after="0"/>
              <w:rPr>
                <w:sz w:val="17"/>
                <w:szCs w:val="17"/>
                <w:color w:val="auto"/>
              </w:rPr>
            </w:pP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(563,734)</w:t>
            </w:r>
          </w:p>
        </w:tc>
        <w:tc>
          <w:tcPr>
            <w:tcW w:w="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2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non-operating income (expenses)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35,241</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1,236,219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47,521</w:t>
            </w:r>
          </w:p>
        </w:tc>
      </w:tr>
      <w:tr>
        <w:trPr>
          <w:trHeight w:val="199"/>
        </w:trPr>
        <w:tc>
          <w:tcPr>
            <w:tcW w:w="4740" w:type="dxa"/>
            <w:vAlign w:val="bottom"/>
            <w:tcBorders>
              <w:top w:val="single" w:sz="8" w:color="EEEEEE"/>
            </w:tcBorders>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Total other income (expenses), net</w:t>
            </w:r>
          </w:p>
        </w:tc>
        <w:tc>
          <w:tcPr>
            <w:tcW w:w="160" w:type="dxa"/>
            <w:vAlign w:val="bottom"/>
            <w:tcBorders>
              <w:top w:val="single" w:sz="8" w:color="auto"/>
              <w:bottom w:val="single" w:sz="8" w:color="auto"/>
            </w:tcBorders>
            <w:shd w:val="clear" w:color="auto" w:fill="EEEEEE"/>
          </w:tcPr>
          <w:p>
            <w:pPr>
              <w:spacing w:after="0"/>
              <w:rPr>
                <w:sz w:val="17"/>
                <w:szCs w:val="17"/>
                <w:color w:val="auto"/>
              </w:rPr>
            </w:pP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(4,463,615</w:t>
            </w:r>
          </w:p>
        </w:tc>
        <w:tc>
          <w:tcPr>
            <w:tcW w:w="200" w:type="dxa"/>
            <w:vAlign w:val="bottom"/>
            <w:tcBorders>
              <w:top w:val="single" w:sz="8" w:color="EEEEEE"/>
            </w:tcBorders>
            <w:shd w:val="clear" w:color="auto" w:fill="EEEEEE"/>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EEEEEE"/>
            </w:tcBorders>
            <w:shd w:val="clear" w:color="auto" w:fill="EEEEEE"/>
          </w:tcPr>
          <w:p>
            <w:pPr>
              <w:spacing w:after="0"/>
              <w:rPr>
                <w:sz w:val="17"/>
                <w:szCs w:val="17"/>
                <w:color w:val="auto"/>
              </w:rPr>
            </w:pPr>
          </w:p>
        </w:tc>
        <w:tc>
          <w:tcPr>
            <w:tcW w:w="200" w:type="dxa"/>
            <w:vAlign w:val="bottom"/>
            <w:tcBorders>
              <w:top w:val="single" w:sz="8" w:color="auto"/>
              <w:bottom w:val="single" w:sz="8" w:color="auto"/>
            </w:tcBorders>
            <w:shd w:val="clear" w:color="auto" w:fill="EEEEEE"/>
          </w:tcPr>
          <w:p>
            <w:pPr>
              <w:spacing w:after="0"/>
              <w:rPr>
                <w:sz w:val="17"/>
                <w:szCs w:val="17"/>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(47,713</w:t>
            </w:r>
          </w:p>
        </w:tc>
        <w:tc>
          <w:tcPr>
            <w:tcW w:w="320" w:type="dxa"/>
            <w:vAlign w:val="bottom"/>
            <w:tcBorders>
              <w:top w:val="single" w:sz="8" w:color="EEEEEE"/>
            </w:tcBorders>
            <w:shd w:val="clear" w:color="auto" w:fill="EEEEEE"/>
          </w:tcPr>
          <w:p>
            <w:pPr>
              <w:jc w:val="right"/>
              <w:ind w:right="240"/>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bottom w:val="single" w:sz="8" w:color="auto"/>
            </w:tcBorders>
            <w:shd w:val="clear" w:color="auto" w:fill="EEEEEE"/>
          </w:tcPr>
          <w:p>
            <w:pPr>
              <w:spacing w:after="0"/>
              <w:rPr>
                <w:sz w:val="17"/>
                <w:szCs w:val="17"/>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(3,291,599</w:t>
            </w:r>
          </w:p>
        </w:tc>
        <w:tc>
          <w:tcPr>
            <w:tcW w:w="180" w:type="dxa"/>
            <w:vAlign w:val="bottom"/>
            <w:tcBorders>
              <w:top w:val="single" w:sz="8" w:color="EEEEEE"/>
            </w:tcBorders>
            <w:shd w:val="clear" w:color="auto" w:fill="EEEEEE"/>
          </w:tcPr>
          <w:p>
            <w:pPr>
              <w:jc w:val="right"/>
              <w:ind w:right="100"/>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bottom w:val="single" w:sz="8" w:color="auto"/>
            </w:tcBorders>
            <w:shd w:val="clear" w:color="auto" w:fill="EEEEEE"/>
          </w:tcPr>
          <w:p>
            <w:pPr>
              <w:spacing w:after="0"/>
              <w:rPr>
                <w:sz w:val="17"/>
                <w:szCs w:val="17"/>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(317,788</w:t>
            </w:r>
          </w:p>
        </w:tc>
        <w:tc>
          <w:tcPr>
            <w:tcW w:w="100" w:type="dxa"/>
            <w:vAlign w:val="bottom"/>
            <w:tcBorders>
              <w:top w:val="single" w:sz="8" w:color="EEEEEE"/>
            </w:tcBorders>
            <w:shd w:val="clear" w:color="auto" w:fill="EEEEEE"/>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r>
      <w:tr>
        <w:trPr>
          <w:trHeight w:val="196"/>
        </w:trPr>
        <w:tc>
          <w:tcPr>
            <w:tcW w:w="4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160" w:type="dxa"/>
            <w:vAlign w:val="bottom"/>
            <w:shd w:val="clear" w:color="auto" w:fill="EEEEEE"/>
          </w:tcPr>
          <w:p>
            <w:pPr>
              <w:spacing w:after="0"/>
              <w:rPr>
                <w:sz w:val="17"/>
                <w:szCs w:val="17"/>
                <w:color w:val="auto"/>
              </w:rPr>
            </w:pPr>
          </w:p>
        </w:tc>
        <w:tc>
          <w:tcPr>
            <w:tcW w:w="1400" w:type="dxa"/>
            <w:vAlign w:val="bottom"/>
            <w:gridSpan w:val="2"/>
            <w:shd w:val="clear" w:color="auto" w:fill="EEEEEE"/>
          </w:tcPr>
          <w:p>
            <w:pPr>
              <w:jc w:val="right"/>
              <w:ind w:right="59"/>
              <w:spacing w:after="0"/>
              <w:rPr>
                <w:sz w:val="20"/>
                <w:szCs w:val="20"/>
                <w:color w:val="auto"/>
              </w:rPr>
            </w:pPr>
            <w:r>
              <w:rPr>
                <w:rFonts w:ascii="Times New Roman" w:cs="Times New Roman" w:eastAsia="Times New Roman" w:hAnsi="Times New Roman"/>
                <w:sz w:val="16"/>
                <w:szCs w:val="16"/>
                <w:color w:val="auto"/>
              </w:rPr>
              <w:t>(5,607,876)</w:t>
            </w:r>
          </w:p>
        </w:tc>
        <w:tc>
          <w:tcPr>
            <w:tcW w:w="1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5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(382,217)</w:t>
            </w:r>
          </w:p>
        </w:tc>
        <w:tc>
          <w:tcPr>
            <w:tcW w:w="160" w:type="dxa"/>
            <w:vAlign w:val="bottom"/>
            <w:shd w:val="clear" w:color="auto" w:fill="EEEEEE"/>
          </w:tcPr>
          <w:p>
            <w:pPr>
              <w:spacing w:after="0"/>
              <w:rPr>
                <w:sz w:val="17"/>
                <w:szCs w:val="17"/>
                <w:color w:val="auto"/>
              </w:rPr>
            </w:pP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(8,432,195)</w:t>
            </w:r>
          </w:p>
        </w:tc>
        <w:tc>
          <w:tcPr>
            <w:tcW w:w="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2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(3,141,854)</w:t>
            </w:r>
          </w:p>
        </w:tc>
      </w:tr>
      <w:tr>
        <w:trPr>
          <w:trHeight w:val="203"/>
        </w:trPr>
        <w:tc>
          <w:tcPr>
            <w:tcW w:w="4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6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59"/>
              <w:spacing w:after="0"/>
              <w:rPr>
                <w:sz w:val="20"/>
                <w:szCs w:val="20"/>
                <w:color w:val="auto"/>
              </w:rPr>
            </w:pPr>
            <w:r>
              <w:rPr>
                <w:rFonts w:ascii="Times New Roman" w:cs="Times New Roman" w:eastAsia="Times New Roman" w:hAnsi="Times New Roman"/>
                <w:sz w:val="16"/>
                <w:szCs w:val="16"/>
                <w:color w:val="auto"/>
              </w:rPr>
              <w:t>(326,502)</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6"/>
                <w:szCs w:val="16"/>
                <w:color w:val="auto"/>
              </w:rPr>
              <w:t>6,364</w:t>
            </w:r>
          </w:p>
        </w:tc>
        <w:tc>
          <w:tcPr>
            <w:tcW w:w="16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(1,839,874)</w:t>
            </w: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(637,108)</w:t>
            </w:r>
          </w:p>
        </w:tc>
      </w:tr>
      <w:tr>
        <w:trPr>
          <w:trHeight w:val="196"/>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 FROM CONTINUING OPERATIONS</w:t>
            </w: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(5,281,374)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(388,581)</w:t>
            </w: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(6,592,321)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(2,504,746)</w:t>
            </w:r>
          </w:p>
        </w:tc>
        <w:tc>
          <w:tcPr>
            <w:tcW w:w="100" w:type="dxa"/>
            <w:vAlign w:val="bottom"/>
          </w:tcPr>
          <w:p>
            <w:pPr>
              <w:spacing w:after="0"/>
              <w:rPr>
                <w:sz w:val="17"/>
                <w:szCs w:val="17"/>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DISCONTINUED OPERATIONS, NET OF TAX</w:t>
            </w:r>
          </w:p>
        </w:tc>
        <w:tc>
          <w:tcPr>
            <w:tcW w:w="160" w:type="dxa"/>
            <w:vAlign w:val="bottom"/>
            <w:shd w:val="clear" w:color="auto" w:fill="EEEEEE"/>
          </w:tcPr>
          <w:p>
            <w:pPr>
              <w:spacing w:after="0"/>
              <w:rPr>
                <w:sz w:val="18"/>
                <w:szCs w:val="18"/>
                <w:color w:val="auto"/>
              </w:rPr>
            </w:pPr>
          </w:p>
        </w:tc>
        <w:tc>
          <w:tcPr>
            <w:tcW w:w="12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1,826,496</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6"/>
                <w:szCs w:val="16"/>
                <w:color w:val="auto"/>
              </w:rPr>
              <w:t>46,208</w:t>
            </w:r>
          </w:p>
        </w:tc>
        <w:tc>
          <w:tcPr>
            <w:tcW w:w="160" w:type="dxa"/>
            <w:vAlign w:val="bottom"/>
            <w:shd w:val="clear" w:color="auto" w:fill="EEEEEE"/>
          </w:tcPr>
          <w:p>
            <w:pPr>
              <w:spacing w:after="0"/>
              <w:rPr>
                <w:sz w:val="18"/>
                <w:szCs w:val="18"/>
                <w:color w:val="auto"/>
              </w:rPr>
            </w:pPr>
          </w:p>
        </w:tc>
        <w:tc>
          <w:tcPr>
            <w:tcW w:w="1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1,410,514</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345,920</w:t>
            </w:r>
          </w:p>
        </w:tc>
      </w:tr>
      <w:tr>
        <w:trPr>
          <w:trHeight w:val="196"/>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(3,454,878)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(342,373)</w:t>
            </w: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(5,181,807)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(2,158,826)</w:t>
            </w:r>
          </w:p>
        </w:tc>
        <w:tc>
          <w:tcPr>
            <w:tcW w:w="100" w:type="dxa"/>
            <w:vAlign w:val="bottom"/>
          </w:tcPr>
          <w:p>
            <w:pPr>
              <w:spacing w:after="0"/>
              <w:rPr>
                <w:sz w:val="17"/>
                <w:szCs w:val="17"/>
                <w:color w:val="auto"/>
              </w:rPr>
            </w:pPr>
          </w:p>
        </w:tc>
      </w:tr>
      <w:tr>
        <w:trPr>
          <w:trHeight w:val="203"/>
        </w:trPr>
        <w:tc>
          <w:tcPr>
            <w:tcW w:w="47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03"/>
        </w:trPr>
        <w:tc>
          <w:tcPr>
            <w:tcW w:w="4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Non-controlling interest</w:t>
            </w:r>
          </w:p>
        </w:tc>
        <w:tc>
          <w:tcPr>
            <w:tcW w:w="160" w:type="dxa"/>
            <w:vAlign w:val="bottom"/>
          </w:tcPr>
          <w:p>
            <w:pPr>
              <w:spacing w:after="0"/>
              <w:rPr>
                <w:sz w:val="17"/>
                <w:szCs w:val="17"/>
                <w:color w:val="auto"/>
              </w:rPr>
            </w:pPr>
          </w:p>
        </w:tc>
        <w:tc>
          <w:tcPr>
            <w:tcW w:w="14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(2,774)</w:t>
            </w:r>
          </w:p>
        </w:tc>
        <w:tc>
          <w:tcPr>
            <w:tcW w:w="16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(8,765)</w:t>
            </w:r>
          </w:p>
        </w:tc>
      </w:tr>
      <w:tr>
        <w:trPr>
          <w:trHeight w:val="216"/>
        </w:trPr>
        <w:tc>
          <w:tcPr>
            <w:tcW w:w="4740" w:type="dxa"/>
            <w:vAlign w:val="bottom"/>
            <w:shd w:val="clear" w:color="auto" w:fill="EEEEEE"/>
          </w:tcPr>
          <w:p>
            <w:pPr>
              <w:spacing w:after="0"/>
              <w:rPr>
                <w:sz w:val="18"/>
                <w:szCs w:val="18"/>
                <w:color w:val="auto"/>
              </w:rPr>
            </w:pPr>
          </w:p>
        </w:tc>
        <w:tc>
          <w:tcPr>
            <w:tcW w:w="160" w:type="dxa"/>
            <w:vAlign w:val="bottom"/>
            <w:tcBorders>
              <w:bottom w:val="single" w:sz="8" w:color="auto"/>
            </w:tcBorders>
            <w:shd w:val="clear" w:color="auto" w:fill="EEEEEE"/>
          </w:tcPr>
          <w:p>
            <w:pPr>
              <w:spacing w:after="0"/>
              <w:rPr>
                <w:sz w:val="18"/>
                <w:szCs w:val="18"/>
                <w:color w:val="auto"/>
              </w:rPr>
            </w:pPr>
          </w:p>
        </w:tc>
        <w:tc>
          <w:tcPr>
            <w:tcW w:w="1200" w:type="dxa"/>
            <w:vAlign w:val="bottom"/>
            <w:tcBorders>
              <w:bottom w:val="single" w:sz="8" w:color="auto"/>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tcBorders>
              <w:bottom w:val="single" w:sz="8" w:color="auto"/>
            </w:tcBorders>
            <w:shd w:val="clear" w:color="auto" w:fill="EEEEEE"/>
          </w:tcPr>
          <w:p>
            <w:pPr>
              <w:spacing w:after="0"/>
              <w:rPr>
                <w:sz w:val="18"/>
                <w:szCs w:val="18"/>
                <w:color w:val="auto"/>
              </w:rPr>
            </w:pPr>
          </w:p>
        </w:tc>
        <w:tc>
          <w:tcPr>
            <w:tcW w:w="1180" w:type="dxa"/>
            <w:vAlign w:val="bottom"/>
            <w:tcBorders>
              <w:bottom w:val="single" w:sz="8" w:color="auto"/>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tcBorders>
              <w:bottom w:val="single" w:sz="8" w:color="auto"/>
            </w:tcBorders>
            <w:shd w:val="clear" w:color="auto" w:fill="EEEEEE"/>
          </w:tcPr>
          <w:p>
            <w:pPr>
              <w:spacing w:after="0"/>
              <w:rPr>
                <w:sz w:val="18"/>
                <w:szCs w:val="18"/>
                <w:color w:val="auto"/>
              </w:rPr>
            </w:pPr>
          </w:p>
        </w:tc>
        <w:tc>
          <w:tcPr>
            <w:tcW w:w="1180" w:type="dxa"/>
            <w:vAlign w:val="bottom"/>
            <w:tcBorders>
              <w:bottom w:val="single" w:sz="8" w:color="auto"/>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tcBorders>
              <w:bottom w:val="single" w:sz="8" w:color="auto"/>
            </w:tcBorders>
            <w:shd w:val="clear" w:color="auto" w:fill="EEEEEE"/>
          </w:tcPr>
          <w:p>
            <w:pPr>
              <w:spacing w:after="0"/>
              <w:rPr>
                <w:sz w:val="18"/>
                <w:szCs w:val="18"/>
                <w:color w:val="auto"/>
              </w:rPr>
            </w:pPr>
          </w:p>
        </w:tc>
        <w:tc>
          <w:tcPr>
            <w:tcW w:w="1160" w:type="dxa"/>
            <w:vAlign w:val="bottom"/>
            <w:tcBorders>
              <w:bottom w:val="single" w:sz="8" w:color="auto"/>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196"/>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NET LOSS ATTRIBUTABLE TO IPOWER INC.</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(3,454,878)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(339,599)</w:t>
            </w:r>
          </w:p>
        </w:tc>
        <w:tc>
          <w:tcPr>
            <w:tcW w:w="3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(5,181,807)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(2,150,061)</w:t>
            </w:r>
          </w:p>
        </w:tc>
        <w:tc>
          <w:tcPr>
            <w:tcW w:w="100" w:type="dxa"/>
            <w:vAlign w:val="bottom"/>
          </w:tcPr>
          <w:p>
            <w:pPr>
              <w:spacing w:after="0"/>
              <w:rPr>
                <w:sz w:val="17"/>
                <w:szCs w:val="17"/>
                <w:color w:val="auto"/>
              </w:rPr>
            </w:pPr>
          </w:p>
        </w:tc>
      </w:tr>
      <w:tr>
        <w:trPr>
          <w:trHeight w:val="203"/>
        </w:trPr>
        <w:tc>
          <w:tcPr>
            <w:tcW w:w="47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0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60" w:type="dxa"/>
            <w:vAlign w:val="bottom"/>
            <w:shd w:val="clear" w:color="auto" w:fill="EEEEEE"/>
          </w:tcPr>
          <w:p>
            <w:pPr>
              <w:spacing w:after="0"/>
              <w:rPr>
                <w:sz w:val="17"/>
                <w:szCs w:val="17"/>
                <w:color w:val="auto"/>
              </w:rPr>
            </w:pPr>
          </w:p>
        </w:tc>
        <w:tc>
          <w:tcPr>
            <w:tcW w:w="1400" w:type="dxa"/>
            <w:vAlign w:val="bottom"/>
            <w:gridSpan w:val="2"/>
            <w:shd w:val="clear" w:color="auto" w:fill="EEEEEE"/>
          </w:tcPr>
          <w:p>
            <w:pPr>
              <w:jc w:val="right"/>
              <w:ind w:right="59"/>
              <w:spacing w:after="0"/>
              <w:rPr>
                <w:sz w:val="20"/>
                <w:szCs w:val="20"/>
                <w:color w:val="auto"/>
              </w:rPr>
            </w:pPr>
            <w:r>
              <w:rPr>
                <w:rFonts w:ascii="Times New Roman" w:cs="Times New Roman" w:eastAsia="Times New Roman" w:hAnsi="Times New Roman"/>
                <w:sz w:val="16"/>
                <w:szCs w:val="16"/>
                <w:color w:val="auto"/>
              </w:rPr>
              <w:t>(15,743)</w:t>
            </w:r>
          </w:p>
        </w:tc>
        <w:tc>
          <w:tcPr>
            <w:tcW w:w="1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5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(97,556)</w:t>
            </w:r>
          </w:p>
        </w:tc>
        <w:tc>
          <w:tcPr>
            <w:tcW w:w="160" w:type="dxa"/>
            <w:vAlign w:val="bottom"/>
            <w:shd w:val="clear" w:color="auto" w:fill="EEEEEE"/>
          </w:tcPr>
          <w:p>
            <w:pPr>
              <w:spacing w:after="0"/>
              <w:rPr>
                <w:sz w:val="17"/>
                <w:szCs w:val="17"/>
                <w:color w:val="auto"/>
              </w:rPr>
            </w:pPr>
          </w:p>
        </w:tc>
        <w:tc>
          <w:tcPr>
            <w:tcW w:w="1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8,821</w:t>
            </w: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2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3,520</w:t>
            </w:r>
          </w:p>
        </w:tc>
      </w:tr>
      <w:tr>
        <w:trPr>
          <w:trHeight w:val="216"/>
        </w:trPr>
        <w:tc>
          <w:tcPr>
            <w:tcW w:w="4740" w:type="dxa"/>
            <w:vAlign w:val="bottom"/>
            <w:tcBorders>
              <w:bottom w:val="single" w:sz="8" w:color="EEEEEE"/>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320" w:type="dxa"/>
            <w:vAlign w:val="bottom"/>
            <w:tcBorders>
              <w:bottom w:val="single" w:sz="8" w:color="EEEEEE"/>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r>
      <w:tr>
        <w:trPr>
          <w:trHeight w:val="207"/>
        </w:trPr>
        <w:tc>
          <w:tcPr>
            <w:tcW w:w="4740" w:type="dxa"/>
            <w:vAlign w:val="bottom"/>
            <w:tcBorders>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6"/>
                <w:szCs w:val="16"/>
                <w:color w:val="auto"/>
              </w:rPr>
              <w:t>COMPREHENSIVE LOSS ATTRIBUTABLE TO IPOWER INC.</w:t>
            </w:r>
          </w:p>
        </w:tc>
        <w:tc>
          <w:tcPr>
            <w:tcW w:w="1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(3,470,621</w:t>
            </w:r>
          </w:p>
        </w:tc>
        <w:tc>
          <w:tcPr>
            <w:tcW w:w="200" w:type="dxa"/>
            <w:vAlign w:val="bottom"/>
            <w:tcBorders>
              <w:bottom w:val="single" w:sz="8" w:color="EEEEEE"/>
            </w:tcBorders>
            <w:shd w:val="clear" w:color="auto" w:fill="EEEEEE"/>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EEEEEE"/>
            </w:tcBorders>
            <w:shd w:val="clear" w:color="auto" w:fill="EEEEEE"/>
          </w:tcPr>
          <w:p>
            <w:pPr>
              <w:spacing w:after="0"/>
              <w:rPr>
                <w:sz w:val="17"/>
                <w:szCs w:val="17"/>
                <w:color w:val="auto"/>
              </w:rPr>
            </w:pPr>
          </w:p>
        </w:tc>
        <w:tc>
          <w:tcPr>
            <w:tcW w:w="200" w:type="dxa"/>
            <w:vAlign w:val="bottom"/>
            <w:tcBorders>
              <w:bottom w:val="single" w:sz="8" w:color="auto"/>
            </w:tcBorders>
            <w:shd w:val="clear" w:color="auto" w:fill="EEEEEE"/>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(437,155</w:t>
            </w:r>
          </w:p>
        </w:tc>
        <w:tc>
          <w:tcPr>
            <w:tcW w:w="320" w:type="dxa"/>
            <w:vAlign w:val="bottom"/>
            <w:tcBorders>
              <w:bottom w:val="single" w:sz="8" w:color="EEEEEE"/>
            </w:tcBorders>
            <w:shd w:val="clear" w:color="auto" w:fill="EEEEEE"/>
          </w:tcPr>
          <w:p>
            <w:pPr>
              <w:jc w:val="right"/>
              <w:ind w:right="240"/>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(5,172,986</w:t>
            </w:r>
          </w:p>
        </w:tc>
        <w:tc>
          <w:tcPr>
            <w:tcW w:w="180" w:type="dxa"/>
            <w:vAlign w:val="bottom"/>
            <w:tcBorders>
              <w:bottom w:val="single" w:sz="8" w:color="EEEEEE"/>
            </w:tcBorders>
            <w:shd w:val="clear" w:color="auto" w:fill="EEEEEE"/>
          </w:tcPr>
          <w:p>
            <w:pPr>
              <w:jc w:val="right"/>
              <w:ind w:right="100"/>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auto"/>
            </w:tcBorders>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(2,146,541</w:t>
            </w:r>
          </w:p>
        </w:tc>
        <w:tc>
          <w:tcPr>
            <w:tcW w:w="100" w:type="dxa"/>
            <w:vAlign w:val="bottom"/>
            <w:tcBorders>
              <w:bottom w:val="single" w:sz="8" w:color="EEEEEE"/>
            </w:tcBorders>
            <w:shd w:val="clear" w:color="auto" w:fill="EEEEEE"/>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6"/>
        </w:trPr>
        <w:tc>
          <w:tcPr>
            <w:tcW w:w="4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WEIGHTED AVERAGE NUMBER OF COMMON STOCK</w:t>
            </w:r>
          </w:p>
        </w:tc>
        <w:tc>
          <w:tcPr>
            <w:tcW w:w="16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66"/>
        </w:trPr>
        <w:tc>
          <w:tcPr>
            <w:tcW w:w="4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1,453,875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1,048,508</w:t>
            </w:r>
          </w:p>
        </w:tc>
        <w:tc>
          <w:tcPr>
            <w:tcW w:w="160" w:type="dxa"/>
            <w:vAlign w:val="bottom"/>
          </w:tcPr>
          <w:p>
            <w:pPr>
              <w:spacing w:after="0"/>
              <w:rPr>
                <w:sz w:val="23"/>
                <w:szCs w:val="23"/>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1,200,110</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1,047,816</w:t>
            </w:r>
          </w:p>
        </w:tc>
      </w:tr>
      <w:tr>
        <w:trPr>
          <w:trHeight w:val="186"/>
        </w:trPr>
        <w:tc>
          <w:tcPr>
            <w:tcW w:w="4740" w:type="dxa"/>
            <w:vAlign w:val="bottom"/>
            <w:tcBorders>
              <w:top w:val="single" w:sz="8" w:color="EEEEEE"/>
            </w:tcBorders>
            <w:shd w:val="clear" w:color="auto" w:fill="EEEEEE"/>
          </w:tcPr>
          <w:p>
            <w:pPr>
              <w:spacing w:after="0"/>
              <w:rPr>
                <w:sz w:val="16"/>
                <w:szCs w:val="16"/>
                <w:color w:val="auto"/>
              </w:rPr>
            </w:pPr>
          </w:p>
        </w:tc>
        <w:tc>
          <w:tcPr>
            <w:tcW w:w="160" w:type="dxa"/>
            <w:vAlign w:val="bottom"/>
            <w:tcBorders>
              <w:top w:val="single" w:sz="8" w:color="auto"/>
            </w:tcBorders>
            <w:shd w:val="clear" w:color="auto" w:fill="EEEEEE"/>
          </w:tcPr>
          <w:p>
            <w:pPr>
              <w:spacing w:after="0"/>
              <w:rPr>
                <w:sz w:val="16"/>
                <w:szCs w:val="16"/>
                <w:color w:val="auto"/>
              </w:rPr>
            </w:pPr>
          </w:p>
        </w:tc>
        <w:tc>
          <w:tcPr>
            <w:tcW w:w="1200" w:type="dxa"/>
            <w:vAlign w:val="bottom"/>
            <w:tcBorders>
              <w:top w:val="single" w:sz="8" w:color="auto"/>
            </w:tcBorders>
            <w:shd w:val="clear" w:color="auto" w:fill="EEEEEE"/>
          </w:tcPr>
          <w:p>
            <w:pPr>
              <w:spacing w:after="0"/>
              <w:rPr>
                <w:sz w:val="16"/>
                <w:szCs w:val="16"/>
                <w:color w:val="auto"/>
              </w:rPr>
            </w:pPr>
          </w:p>
        </w:tc>
        <w:tc>
          <w:tcPr>
            <w:tcW w:w="200" w:type="dxa"/>
            <w:vAlign w:val="bottom"/>
            <w:tcBorders>
              <w:top w:val="single" w:sz="8" w:color="EEEEEE"/>
            </w:tcBorders>
            <w:shd w:val="clear" w:color="auto" w:fill="EEEEEE"/>
          </w:tcPr>
          <w:p>
            <w:pPr>
              <w:spacing w:after="0"/>
              <w:rPr>
                <w:sz w:val="16"/>
                <w:szCs w:val="16"/>
                <w:color w:val="auto"/>
              </w:rPr>
            </w:pPr>
          </w:p>
        </w:tc>
        <w:tc>
          <w:tcPr>
            <w:tcW w:w="140" w:type="dxa"/>
            <w:vAlign w:val="bottom"/>
            <w:tcBorders>
              <w:top w:val="single" w:sz="8" w:color="EEEEEE"/>
            </w:tcBorders>
            <w:shd w:val="clear" w:color="auto" w:fill="EEEEEE"/>
          </w:tcPr>
          <w:p>
            <w:pPr>
              <w:spacing w:after="0"/>
              <w:rPr>
                <w:sz w:val="16"/>
                <w:szCs w:val="16"/>
                <w:color w:val="auto"/>
              </w:rPr>
            </w:pPr>
          </w:p>
        </w:tc>
        <w:tc>
          <w:tcPr>
            <w:tcW w:w="200" w:type="dxa"/>
            <w:vAlign w:val="bottom"/>
            <w:tcBorders>
              <w:top w:val="single" w:sz="8" w:color="auto"/>
            </w:tcBorders>
            <w:shd w:val="clear" w:color="auto" w:fill="EEEEEE"/>
          </w:tcPr>
          <w:p>
            <w:pPr>
              <w:spacing w:after="0"/>
              <w:rPr>
                <w:sz w:val="16"/>
                <w:szCs w:val="16"/>
                <w:color w:val="auto"/>
              </w:rPr>
            </w:pPr>
          </w:p>
        </w:tc>
        <w:tc>
          <w:tcPr>
            <w:tcW w:w="1180" w:type="dxa"/>
            <w:vAlign w:val="bottom"/>
            <w:tcBorders>
              <w:top w:val="single" w:sz="8" w:color="auto"/>
            </w:tcBorders>
            <w:shd w:val="clear" w:color="auto" w:fill="EEEEEE"/>
          </w:tcPr>
          <w:p>
            <w:pPr>
              <w:spacing w:after="0"/>
              <w:rPr>
                <w:sz w:val="16"/>
                <w:szCs w:val="16"/>
                <w:color w:val="auto"/>
              </w:rPr>
            </w:pPr>
          </w:p>
        </w:tc>
        <w:tc>
          <w:tcPr>
            <w:tcW w:w="320" w:type="dxa"/>
            <w:vAlign w:val="bottom"/>
            <w:tcBorders>
              <w:top w:val="single" w:sz="8" w:color="EEEEEE"/>
            </w:tcBorders>
            <w:shd w:val="clear" w:color="auto" w:fill="EEEEEE"/>
          </w:tcPr>
          <w:p>
            <w:pPr>
              <w:spacing w:after="0"/>
              <w:rPr>
                <w:sz w:val="16"/>
                <w:szCs w:val="16"/>
                <w:color w:val="auto"/>
              </w:rPr>
            </w:pPr>
          </w:p>
        </w:tc>
        <w:tc>
          <w:tcPr>
            <w:tcW w:w="160" w:type="dxa"/>
            <w:vAlign w:val="bottom"/>
            <w:tcBorders>
              <w:top w:val="single" w:sz="8" w:color="auto"/>
            </w:tcBorders>
            <w:shd w:val="clear" w:color="auto" w:fill="EEEEEE"/>
          </w:tcPr>
          <w:p>
            <w:pPr>
              <w:spacing w:after="0"/>
              <w:rPr>
                <w:sz w:val="16"/>
                <w:szCs w:val="16"/>
                <w:color w:val="auto"/>
              </w:rPr>
            </w:pPr>
          </w:p>
        </w:tc>
        <w:tc>
          <w:tcPr>
            <w:tcW w:w="1180" w:type="dxa"/>
            <w:vAlign w:val="bottom"/>
            <w:tcBorders>
              <w:top w:val="single" w:sz="8" w:color="auto"/>
            </w:tcBorders>
            <w:shd w:val="clear" w:color="auto" w:fill="EEEEEE"/>
          </w:tcPr>
          <w:p>
            <w:pPr>
              <w:spacing w:after="0"/>
              <w:rPr>
                <w:sz w:val="16"/>
                <w:szCs w:val="16"/>
                <w:color w:val="auto"/>
              </w:rPr>
            </w:pPr>
          </w:p>
        </w:tc>
        <w:tc>
          <w:tcPr>
            <w:tcW w:w="180" w:type="dxa"/>
            <w:vAlign w:val="bottom"/>
            <w:tcBorders>
              <w:top w:val="single" w:sz="8" w:color="EEEEEE"/>
            </w:tcBorders>
            <w:shd w:val="clear" w:color="auto" w:fill="EEEEEE"/>
          </w:tcPr>
          <w:p>
            <w:pPr>
              <w:spacing w:after="0"/>
              <w:rPr>
                <w:sz w:val="16"/>
                <w:szCs w:val="16"/>
                <w:color w:val="auto"/>
              </w:rPr>
            </w:pPr>
          </w:p>
        </w:tc>
        <w:tc>
          <w:tcPr>
            <w:tcW w:w="140" w:type="dxa"/>
            <w:vAlign w:val="bottom"/>
            <w:tcBorders>
              <w:top w:val="single" w:sz="8" w:color="EEEEEE"/>
            </w:tcBorders>
            <w:shd w:val="clear" w:color="auto" w:fill="EEEEEE"/>
          </w:tcPr>
          <w:p>
            <w:pPr>
              <w:spacing w:after="0"/>
              <w:rPr>
                <w:sz w:val="16"/>
                <w:szCs w:val="16"/>
                <w:color w:val="auto"/>
              </w:rPr>
            </w:pPr>
          </w:p>
        </w:tc>
        <w:tc>
          <w:tcPr>
            <w:tcW w:w="180" w:type="dxa"/>
            <w:vAlign w:val="bottom"/>
            <w:tcBorders>
              <w:top w:val="single" w:sz="8" w:color="auto"/>
            </w:tcBorders>
            <w:shd w:val="clear" w:color="auto" w:fill="EEEEEE"/>
          </w:tcPr>
          <w:p>
            <w:pPr>
              <w:spacing w:after="0"/>
              <w:rPr>
                <w:sz w:val="16"/>
                <w:szCs w:val="16"/>
                <w:color w:val="auto"/>
              </w:rPr>
            </w:pPr>
          </w:p>
        </w:tc>
        <w:tc>
          <w:tcPr>
            <w:tcW w:w="1160" w:type="dxa"/>
            <w:vAlign w:val="bottom"/>
            <w:tcBorders>
              <w:top w:val="single" w:sz="8" w:color="auto"/>
            </w:tcBorders>
            <w:shd w:val="clear" w:color="auto" w:fill="EEEEEE"/>
          </w:tcPr>
          <w:p>
            <w:pPr>
              <w:spacing w:after="0"/>
              <w:rPr>
                <w:sz w:val="16"/>
                <w:szCs w:val="16"/>
                <w:color w:val="auto"/>
              </w:rPr>
            </w:pPr>
          </w:p>
        </w:tc>
        <w:tc>
          <w:tcPr>
            <w:tcW w:w="100" w:type="dxa"/>
            <w:vAlign w:val="bottom"/>
            <w:tcBorders>
              <w:top w:val="single" w:sz="8" w:color="EEEEEE"/>
            </w:tcBorders>
            <w:shd w:val="clear" w:color="auto" w:fill="EEEEEE"/>
          </w:tcPr>
          <w:p>
            <w:pPr>
              <w:spacing w:after="0"/>
              <w:rPr>
                <w:sz w:val="16"/>
                <w:szCs w:val="16"/>
                <w:color w:val="auto"/>
              </w:rPr>
            </w:pPr>
          </w:p>
        </w:tc>
      </w:tr>
      <w:tr>
        <w:trPr>
          <w:trHeight w:val="266"/>
        </w:trPr>
        <w:tc>
          <w:tcPr>
            <w:tcW w:w="4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1,453,875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1,048,508</w:t>
            </w:r>
          </w:p>
        </w:tc>
        <w:tc>
          <w:tcPr>
            <w:tcW w:w="160" w:type="dxa"/>
            <w:vAlign w:val="bottom"/>
          </w:tcPr>
          <w:p>
            <w:pPr>
              <w:spacing w:after="0"/>
              <w:rPr>
                <w:sz w:val="23"/>
                <w:szCs w:val="23"/>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1,200,110</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1,047,816</w:t>
            </w:r>
          </w:p>
        </w:tc>
      </w:tr>
      <w:tr>
        <w:trPr>
          <w:trHeight w:val="186"/>
        </w:trPr>
        <w:tc>
          <w:tcPr>
            <w:tcW w:w="4740" w:type="dxa"/>
            <w:vAlign w:val="bottom"/>
            <w:tcBorders>
              <w:top w:val="single" w:sz="8" w:color="EEEEEE"/>
            </w:tcBorders>
            <w:shd w:val="clear" w:color="auto" w:fill="EEEEEE"/>
          </w:tcPr>
          <w:p>
            <w:pPr>
              <w:spacing w:after="0"/>
              <w:rPr>
                <w:sz w:val="16"/>
                <w:szCs w:val="16"/>
                <w:color w:val="auto"/>
              </w:rPr>
            </w:pPr>
          </w:p>
        </w:tc>
        <w:tc>
          <w:tcPr>
            <w:tcW w:w="160" w:type="dxa"/>
            <w:vAlign w:val="bottom"/>
            <w:tcBorders>
              <w:top w:val="single" w:sz="8" w:color="auto"/>
            </w:tcBorders>
            <w:shd w:val="clear" w:color="auto" w:fill="EEEEEE"/>
          </w:tcPr>
          <w:p>
            <w:pPr>
              <w:spacing w:after="0"/>
              <w:rPr>
                <w:sz w:val="16"/>
                <w:szCs w:val="16"/>
                <w:color w:val="auto"/>
              </w:rPr>
            </w:pPr>
          </w:p>
        </w:tc>
        <w:tc>
          <w:tcPr>
            <w:tcW w:w="1200" w:type="dxa"/>
            <w:vAlign w:val="bottom"/>
            <w:tcBorders>
              <w:top w:val="single" w:sz="8" w:color="auto"/>
            </w:tcBorders>
            <w:shd w:val="clear" w:color="auto" w:fill="EEEEEE"/>
          </w:tcPr>
          <w:p>
            <w:pPr>
              <w:spacing w:after="0"/>
              <w:rPr>
                <w:sz w:val="16"/>
                <w:szCs w:val="16"/>
                <w:color w:val="auto"/>
              </w:rPr>
            </w:pPr>
          </w:p>
        </w:tc>
        <w:tc>
          <w:tcPr>
            <w:tcW w:w="200" w:type="dxa"/>
            <w:vAlign w:val="bottom"/>
            <w:tcBorders>
              <w:top w:val="single" w:sz="8" w:color="EEEEEE"/>
            </w:tcBorders>
            <w:shd w:val="clear" w:color="auto" w:fill="EEEEEE"/>
          </w:tcPr>
          <w:p>
            <w:pPr>
              <w:spacing w:after="0"/>
              <w:rPr>
                <w:sz w:val="16"/>
                <w:szCs w:val="16"/>
                <w:color w:val="auto"/>
              </w:rPr>
            </w:pPr>
          </w:p>
        </w:tc>
        <w:tc>
          <w:tcPr>
            <w:tcW w:w="140" w:type="dxa"/>
            <w:vAlign w:val="bottom"/>
            <w:tcBorders>
              <w:top w:val="single" w:sz="8" w:color="EEEEEE"/>
            </w:tcBorders>
            <w:shd w:val="clear" w:color="auto" w:fill="EEEEEE"/>
          </w:tcPr>
          <w:p>
            <w:pPr>
              <w:spacing w:after="0"/>
              <w:rPr>
                <w:sz w:val="16"/>
                <w:szCs w:val="16"/>
                <w:color w:val="auto"/>
              </w:rPr>
            </w:pPr>
          </w:p>
        </w:tc>
        <w:tc>
          <w:tcPr>
            <w:tcW w:w="200" w:type="dxa"/>
            <w:vAlign w:val="bottom"/>
            <w:tcBorders>
              <w:top w:val="single" w:sz="8" w:color="auto"/>
            </w:tcBorders>
            <w:shd w:val="clear" w:color="auto" w:fill="EEEEEE"/>
          </w:tcPr>
          <w:p>
            <w:pPr>
              <w:spacing w:after="0"/>
              <w:rPr>
                <w:sz w:val="16"/>
                <w:szCs w:val="16"/>
                <w:color w:val="auto"/>
              </w:rPr>
            </w:pPr>
          </w:p>
        </w:tc>
        <w:tc>
          <w:tcPr>
            <w:tcW w:w="1180" w:type="dxa"/>
            <w:vAlign w:val="bottom"/>
            <w:tcBorders>
              <w:top w:val="single" w:sz="8" w:color="auto"/>
            </w:tcBorders>
            <w:shd w:val="clear" w:color="auto" w:fill="EEEEEE"/>
          </w:tcPr>
          <w:p>
            <w:pPr>
              <w:spacing w:after="0"/>
              <w:rPr>
                <w:sz w:val="16"/>
                <w:szCs w:val="16"/>
                <w:color w:val="auto"/>
              </w:rPr>
            </w:pPr>
          </w:p>
        </w:tc>
        <w:tc>
          <w:tcPr>
            <w:tcW w:w="320" w:type="dxa"/>
            <w:vAlign w:val="bottom"/>
            <w:tcBorders>
              <w:top w:val="single" w:sz="8" w:color="EEEEEE"/>
            </w:tcBorders>
            <w:shd w:val="clear" w:color="auto" w:fill="EEEEEE"/>
          </w:tcPr>
          <w:p>
            <w:pPr>
              <w:spacing w:after="0"/>
              <w:rPr>
                <w:sz w:val="16"/>
                <w:szCs w:val="16"/>
                <w:color w:val="auto"/>
              </w:rPr>
            </w:pPr>
          </w:p>
        </w:tc>
        <w:tc>
          <w:tcPr>
            <w:tcW w:w="160" w:type="dxa"/>
            <w:vAlign w:val="bottom"/>
            <w:tcBorders>
              <w:top w:val="single" w:sz="8" w:color="auto"/>
            </w:tcBorders>
            <w:shd w:val="clear" w:color="auto" w:fill="EEEEEE"/>
          </w:tcPr>
          <w:p>
            <w:pPr>
              <w:spacing w:after="0"/>
              <w:rPr>
                <w:sz w:val="16"/>
                <w:szCs w:val="16"/>
                <w:color w:val="auto"/>
              </w:rPr>
            </w:pPr>
          </w:p>
        </w:tc>
        <w:tc>
          <w:tcPr>
            <w:tcW w:w="1180" w:type="dxa"/>
            <w:vAlign w:val="bottom"/>
            <w:tcBorders>
              <w:top w:val="single" w:sz="8" w:color="auto"/>
            </w:tcBorders>
            <w:shd w:val="clear" w:color="auto" w:fill="EEEEEE"/>
          </w:tcPr>
          <w:p>
            <w:pPr>
              <w:spacing w:after="0"/>
              <w:rPr>
                <w:sz w:val="16"/>
                <w:szCs w:val="16"/>
                <w:color w:val="auto"/>
              </w:rPr>
            </w:pPr>
          </w:p>
        </w:tc>
        <w:tc>
          <w:tcPr>
            <w:tcW w:w="180" w:type="dxa"/>
            <w:vAlign w:val="bottom"/>
            <w:tcBorders>
              <w:top w:val="single" w:sz="8" w:color="EEEEEE"/>
            </w:tcBorders>
            <w:shd w:val="clear" w:color="auto" w:fill="EEEEEE"/>
          </w:tcPr>
          <w:p>
            <w:pPr>
              <w:spacing w:after="0"/>
              <w:rPr>
                <w:sz w:val="16"/>
                <w:szCs w:val="16"/>
                <w:color w:val="auto"/>
              </w:rPr>
            </w:pPr>
          </w:p>
        </w:tc>
        <w:tc>
          <w:tcPr>
            <w:tcW w:w="140" w:type="dxa"/>
            <w:vAlign w:val="bottom"/>
            <w:tcBorders>
              <w:top w:val="single" w:sz="8" w:color="EEEEEE"/>
            </w:tcBorders>
            <w:shd w:val="clear" w:color="auto" w:fill="EEEEEE"/>
          </w:tcPr>
          <w:p>
            <w:pPr>
              <w:spacing w:after="0"/>
              <w:rPr>
                <w:sz w:val="16"/>
                <w:szCs w:val="16"/>
                <w:color w:val="auto"/>
              </w:rPr>
            </w:pPr>
          </w:p>
        </w:tc>
        <w:tc>
          <w:tcPr>
            <w:tcW w:w="180" w:type="dxa"/>
            <w:vAlign w:val="bottom"/>
            <w:tcBorders>
              <w:top w:val="single" w:sz="8" w:color="auto"/>
            </w:tcBorders>
            <w:shd w:val="clear" w:color="auto" w:fill="EEEEEE"/>
          </w:tcPr>
          <w:p>
            <w:pPr>
              <w:spacing w:after="0"/>
              <w:rPr>
                <w:sz w:val="16"/>
                <w:szCs w:val="16"/>
                <w:color w:val="auto"/>
              </w:rPr>
            </w:pPr>
          </w:p>
        </w:tc>
        <w:tc>
          <w:tcPr>
            <w:tcW w:w="1160" w:type="dxa"/>
            <w:vAlign w:val="bottom"/>
            <w:tcBorders>
              <w:top w:val="single" w:sz="8" w:color="auto"/>
            </w:tcBorders>
            <w:shd w:val="clear" w:color="auto" w:fill="EEEEEE"/>
          </w:tcPr>
          <w:p>
            <w:pPr>
              <w:spacing w:after="0"/>
              <w:rPr>
                <w:sz w:val="16"/>
                <w:szCs w:val="16"/>
                <w:color w:val="auto"/>
              </w:rPr>
            </w:pPr>
          </w:p>
        </w:tc>
        <w:tc>
          <w:tcPr>
            <w:tcW w:w="100" w:type="dxa"/>
            <w:vAlign w:val="bottom"/>
            <w:tcBorders>
              <w:top w:val="single" w:sz="8" w:color="EEEEEE"/>
            </w:tcBorders>
            <w:shd w:val="clear" w:color="auto" w:fill="EEEEEE"/>
          </w:tcPr>
          <w:p>
            <w:pPr>
              <w:spacing w:after="0"/>
              <w:rPr>
                <w:sz w:val="16"/>
                <w:szCs w:val="16"/>
                <w:color w:val="auto"/>
              </w:rPr>
            </w:pPr>
          </w:p>
        </w:tc>
      </w:tr>
      <w:tr>
        <w:trPr>
          <w:trHeight w:val="20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EARNINGS (LOSSES) PER SHARE</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Basic - continuing operations</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shd w:val="clear" w:color="auto" w:fill="EEEEEE"/>
          </w:tcPr>
          <w:p>
            <w:pPr>
              <w:jc w:val="right"/>
              <w:ind w:right="59"/>
              <w:spacing w:after="0"/>
              <w:rPr>
                <w:sz w:val="20"/>
                <w:szCs w:val="20"/>
                <w:color w:val="auto"/>
              </w:rPr>
            </w:pPr>
            <w:r>
              <w:rPr>
                <w:rFonts w:ascii="Times New Roman" w:cs="Times New Roman" w:eastAsia="Times New Roman" w:hAnsi="Times New Roman"/>
                <w:sz w:val="16"/>
                <w:szCs w:val="16"/>
                <w:color w:val="auto"/>
              </w:rPr>
              <w:t>(3.63)</w:t>
            </w:r>
          </w:p>
        </w:tc>
        <w:tc>
          <w:tcPr>
            <w:tcW w:w="340" w:type="dxa"/>
            <w:vAlign w:val="bottom"/>
            <w:gridSpan w:val="2"/>
            <w:shd w:val="clear" w:color="auto" w:fill="EEEEE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(0.37)</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(5.49)</w:t>
            </w:r>
          </w:p>
        </w:tc>
        <w:tc>
          <w:tcPr>
            <w:tcW w:w="320" w:type="dxa"/>
            <w:vAlign w:val="bottom"/>
            <w:gridSpan w:val="2"/>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(2.39)</w:t>
            </w:r>
          </w:p>
        </w:tc>
      </w:tr>
      <w:tr>
        <w:trPr>
          <w:trHeight w:val="213"/>
        </w:trPr>
        <w:tc>
          <w:tcPr>
            <w:tcW w:w="4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 - discontinued operations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0.04</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0.33</w:t>
            </w:r>
          </w:p>
        </w:tc>
      </w:tr>
      <w:tr>
        <w:trPr>
          <w:trHeight w:val="209"/>
        </w:trPr>
        <w:tc>
          <w:tcPr>
            <w:tcW w:w="4740" w:type="dxa"/>
            <w:vAlign w:val="bottom"/>
            <w:tcBorders>
              <w:top w:val="single" w:sz="8" w:color="EEEEEE"/>
              <w:bottom w:val="single" w:sz="8" w:color="EEEEEE"/>
            </w:tcBorders>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Total basic earnings (loss) per share</w:t>
            </w: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200" w:type="dxa"/>
            <w:vAlign w:val="bottom"/>
            <w:tcBorders>
              <w:top w:val="single" w:sz="8" w:color="EEEEEE"/>
              <w:bottom w:val="single" w:sz="8" w:color="EEEEEE"/>
            </w:tcBorders>
            <w:shd w:val="clear" w:color="auto" w:fill="EEEEEE"/>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EEEEEE"/>
              <w:bottom w:val="single" w:sz="8" w:color="EEEEEE"/>
            </w:tcBorders>
            <w:shd w:val="clear" w:color="auto" w:fill="EEEEEE"/>
          </w:tcPr>
          <w:p>
            <w:pPr>
              <w:spacing w:after="0"/>
              <w:rPr>
                <w:sz w:val="18"/>
                <w:szCs w:val="18"/>
                <w:color w:val="auto"/>
              </w:rPr>
            </w:pPr>
          </w:p>
        </w:tc>
        <w:tc>
          <w:tcPr>
            <w:tcW w:w="200" w:type="dxa"/>
            <w:vAlign w:val="bottom"/>
            <w:tcBorders>
              <w:top w:val="single" w:sz="8" w:color="auto"/>
              <w:bottom w:val="single" w:sz="8" w:color="auto"/>
            </w:tcBorders>
            <w:shd w:val="clear" w:color="auto" w:fill="EEEEEE"/>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320" w:type="dxa"/>
            <w:vAlign w:val="bottom"/>
            <w:tcBorders>
              <w:top w:val="single" w:sz="8" w:color="EEEEEE"/>
              <w:bottom w:val="single" w:sz="8" w:color="EEEEEE"/>
            </w:tcBorders>
            <w:shd w:val="clear" w:color="auto" w:fill="EEEEEE"/>
          </w:tcPr>
          <w:p>
            <w:pPr>
              <w:jc w:val="right"/>
              <w:ind w:right="240"/>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80" w:type="dxa"/>
            <w:vAlign w:val="bottom"/>
            <w:tcBorders>
              <w:top w:val="single" w:sz="8" w:color="EEEEEE"/>
              <w:bottom w:val="single" w:sz="8" w:color="EEEEEE"/>
            </w:tcBorders>
            <w:shd w:val="clear" w:color="auto" w:fill="EEEEEE"/>
          </w:tcPr>
          <w:p>
            <w:pPr>
              <w:jc w:val="right"/>
              <w:ind w:right="100"/>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EEEEEE"/>
              <w:bottom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Borders>
              <w:top w:val="single" w:sz="8" w:color="EEEEEE"/>
              <w:bottom w:val="single" w:sz="8" w:color="EEEEEE"/>
            </w:tcBorders>
            <w:shd w:val="clear" w:color="auto" w:fill="EEEEEE"/>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6"/>
        </w:trPr>
        <w:tc>
          <w:tcPr>
            <w:tcW w:w="4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Diluted - continuing operations</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shd w:val="clear" w:color="auto" w:fill="EEEEEE"/>
          </w:tcPr>
          <w:p>
            <w:pPr>
              <w:jc w:val="right"/>
              <w:ind w:right="59"/>
              <w:spacing w:after="0"/>
              <w:rPr>
                <w:sz w:val="20"/>
                <w:szCs w:val="20"/>
                <w:color w:val="auto"/>
              </w:rPr>
            </w:pPr>
            <w:r>
              <w:rPr>
                <w:rFonts w:ascii="Times New Roman" w:cs="Times New Roman" w:eastAsia="Times New Roman" w:hAnsi="Times New Roman"/>
                <w:sz w:val="16"/>
                <w:szCs w:val="16"/>
                <w:color w:val="auto"/>
              </w:rPr>
              <w:t>(3.63)</w:t>
            </w:r>
          </w:p>
        </w:tc>
        <w:tc>
          <w:tcPr>
            <w:tcW w:w="340" w:type="dxa"/>
            <w:vAlign w:val="bottom"/>
            <w:gridSpan w:val="2"/>
            <w:shd w:val="clear" w:color="auto" w:fill="EEEEE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(0.37)</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(5.49)</w:t>
            </w:r>
          </w:p>
        </w:tc>
        <w:tc>
          <w:tcPr>
            <w:tcW w:w="320" w:type="dxa"/>
            <w:vAlign w:val="bottom"/>
            <w:gridSpan w:val="2"/>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(2.39)</w:t>
            </w:r>
          </w:p>
        </w:tc>
      </w:tr>
      <w:tr>
        <w:trPr>
          <w:trHeight w:val="213"/>
        </w:trPr>
        <w:tc>
          <w:tcPr>
            <w:tcW w:w="4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 - discontinued operations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0.04</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0.33</w:t>
            </w:r>
          </w:p>
        </w:tc>
      </w:tr>
      <w:tr>
        <w:trPr>
          <w:trHeight w:val="209"/>
        </w:trPr>
        <w:tc>
          <w:tcPr>
            <w:tcW w:w="4740" w:type="dxa"/>
            <w:vAlign w:val="bottom"/>
            <w:tcBorders>
              <w:top w:val="single" w:sz="8" w:color="EEEEEE"/>
              <w:bottom w:val="single" w:sz="8" w:color="EEEEEE"/>
            </w:tcBorders>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Total diluted earnings (loss) per share</w:t>
            </w: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200" w:type="dxa"/>
            <w:vAlign w:val="bottom"/>
            <w:tcBorders>
              <w:top w:val="single" w:sz="8" w:color="EEEEEE"/>
              <w:bottom w:val="single" w:sz="8" w:color="EEEEEE"/>
            </w:tcBorders>
            <w:shd w:val="clear" w:color="auto" w:fill="EEEEEE"/>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EEEEEE"/>
              <w:bottom w:val="single" w:sz="8" w:color="EEEEEE"/>
            </w:tcBorders>
            <w:shd w:val="clear" w:color="auto" w:fill="EEEEEE"/>
          </w:tcPr>
          <w:p>
            <w:pPr>
              <w:spacing w:after="0"/>
              <w:rPr>
                <w:sz w:val="18"/>
                <w:szCs w:val="18"/>
                <w:color w:val="auto"/>
              </w:rPr>
            </w:pPr>
          </w:p>
        </w:tc>
        <w:tc>
          <w:tcPr>
            <w:tcW w:w="200" w:type="dxa"/>
            <w:vAlign w:val="bottom"/>
            <w:tcBorders>
              <w:top w:val="single" w:sz="8" w:color="auto"/>
              <w:bottom w:val="single" w:sz="8" w:color="auto"/>
            </w:tcBorders>
            <w:shd w:val="clear" w:color="auto" w:fill="EEEEEE"/>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320" w:type="dxa"/>
            <w:vAlign w:val="bottom"/>
            <w:tcBorders>
              <w:top w:val="single" w:sz="8" w:color="EEEEEE"/>
              <w:bottom w:val="single" w:sz="8" w:color="EEEEEE"/>
            </w:tcBorders>
            <w:shd w:val="clear" w:color="auto" w:fill="EEEEEE"/>
          </w:tcPr>
          <w:p>
            <w:pPr>
              <w:jc w:val="right"/>
              <w:ind w:right="240"/>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80" w:type="dxa"/>
            <w:vAlign w:val="bottom"/>
            <w:tcBorders>
              <w:top w:val="single" w:sz="8" w:color="EEEEEE"/>
              <w:bottom w:val="single" w:sz="8" w:color="EEEEEE"/>
            </w:tcBorders>
            <w:shd w:val="clear" w:color="auto" w:fill="EEEEEE"/>
          </w:tcPr>
          <w:p>
            <w:pPr>
              <w:jc w:val="right"/>
              <w:ind w:right="100"/>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EEEEEE"/>
              <w:bottom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Borders>
              <w:top w:val="single" w:sz="8" w:color="EEEEEE"/>
              <w:bottom w:val="single" w:sz="8" w:color="EEEEEE"/>
            </w:tcBorders>
            <w:shd w:val="clear" w:color="auto" w:fill="EEEEEE"/>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771"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iPower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Reconciliation of GAAP to Non-GAAP Financial Measures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00" w:type="dxa"/>
            <w:vAlign w:val="bottom"/>
            <w:gridSpan w:val="6"/>
          </w:tcPr>
          <w:p>
            <w:pPr>
              <w:jc w:val="right"/>
              <w:ind w:right="361"/>
              <w:spacing w:after="0"/>
              <w:rPr>
                <w:sz w:val="20"/>
                <w:szCs w:val="20"/>
                <w:color w:val="auto"/>
              </w:rPr>
            </w:pPr>
            <w:r>
              <w:rPr>
                <w:rFonts w:ascii="Times New Roman" w:cs="Times New Roman" w:eastAsia="Times New Roman" w:hAnsi="Times New Roman"/>
                <w:sz w:val="18"/>
                <w:szCs w:val="18"/>
                <w:color w:val="auto"/>
                <w:w w:val="99"/>
              </w:rPr>
              <w:t>For the Three Months Ended March 31,</w:t>
            </w:r>
          </w:p>
        </w:tc>
        <w:tc>
          <w:tcPr>
            <w:tcW w:w="100" w:type="dxa"/>
            <w:vAlign w:val="bottom"/>
          </w:tcPr>
          <w:p>
            <w:pPr>
              <w:spacing w:after="0"/>
              <w:rPr>
                <w:sz w:val="19"/>
                <w:szCs w:val="19"/>
                <w:color w:val="auto"/>
              </w:rPr>
            </w:pPr>
          </w:p>
        </w:tc>
        <w:tc>
          <w:tcPr>
            <w:tcW w:w="3000" w:type="dxa"/>
            <w:vAlign w:val="bottom"/>
            <w:gridSpan w:val="6"/>
          </w:tcPr>
          <w:p>
            <w:pPr>
              <w:jc w:val="right"/>
              <w:ind w:right="121"/>
              <w:spacing w:after="0"/>
              <w:rPr>
                <w:sz w:val="20"/>
                <w:szCs w:val="20"/>
                <w:color w:val="auto"/>
              </w:rPr>
            </w:pPr>
            <w:r>
              <w:rPr>
                <w:rFonts w:ascii="Times New Roman" w:cs="Times New Roman" w:eastAsia="Times New Roman" w:hAnsi="Times New Roman"/>
                <w:sz w:val="18"/>
                <w:szCs w:val="18"/>
                <w:color w:val="auto"/>
                <w:w w:val="99"/>
              </w:rPr>
              <w:t>For the Nine Months Ended March 31,</w:t>
            </w:r>
          </w:p>
        </w:tc>
      </w:tr>
      <w:tr>
        <w:trPr>
          <w:trHeight w:val="234"/>
        </w:trPr>
        <w:tc>
          <w:tcPr>
            <w:tcW w:w="4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r>
      <w:tr>
        <w:trPr>
          <w:trHeight w:val="209"/>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(Unaudited)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(Unaudited)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GAAP OPERATING EXPENSES</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EEEEEE"/>
          </w:tcPr>
          <w:p>
            <w:pPr>
              <w:jc w:val="right"/>
              <w:ind w:right="121"/>
              <w:spacing w:after="0"/>
              <w:rPr>
                <w:sz w:val="20"/>
                <w:szCs w:val="20"/>
                <w:color w:val="auto"/>
              </w:rPr>
            </w:pPr>
            <w:r>
              <w:rPr>
                <w:rFonts w:ascii="Times New Roman" w:cs="Times New Roman" w:eastAsia="Times New Roman" w:hAnsi="Times New Roman"/>
                <w:sz w:val="18"/>
                <w:szCs w:val="18"/>
                <w:color w:val="auto"/>
              </w:rPr>
              <w:t>1,899,810</w:t>
            </w:r>
          </w:p>
        </w:tc>
        <w:tc>
          <w:tcPr>
            <w:tcW w:w="3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7,189,964</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EEEEEE"/>
          </w:tcPr>
          <w:p>
            <w:pPr>
              <w:jc w:val="right"/>
              <w:ind w:right="101"/>
              <w:spacing w:after="0"/>
              <w:rPr>
                <w:sz w:val="20"/>
                <w:szCs w:val="20"/>
                <w:color w:val="auto"/>
              </w:rPr>
            </w:pPr>
            <w:r>
              <w:rPr>
                <w:rFonts w:ascii="Times New Roman" w:cs="Times New Roman" w:eastAsia="Times New Roman" w:hAnsi="Times New Roman"/>
                <w:sz w:val="18"/>
                <w:szCs w:val="18"/>
                <w:color w:val="auto"/>
              </w:rPr>
              <w:t>11,978,080</w:t>
            </w:r>
          </w:p>
        </w:tc>
        <w:tc>
          <w:tcPr>
            <w:tcW w:w="3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25,720,971</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14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(150,203)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546,053.00</w:t>
            </w:r>
          </w:p>
        </w:tc>
        <w:tc>
          <w:tcPr>
            <w:tcW w:w="100" w:type="dxa"/>
            <w:vAlign w:val="bottom"/>
          </w:tcPr>
          <w:p>
            <w:pPr>
              <w:spacing w:after="0"/>
              <w:rPr>
                <w:sz w:val="18"/>
                <w:szCs w:val="18"/>
                <w:color w:val="auto"/>
              </w:rPr>
            </w:pPr>
          </w:p>
        </w:tc>
        <w:tc>
          <w:tcPr>
            <w:tcW w:w="14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(1,450,608)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142,780</w:t>
            </w:r>
          </w:p>
        </w:tc>
      </w:tr>
      <w:tr>
        <w:trPr>
          <w:trHeight w:val="230"/>
        </w:trPr>
        <w:tc>
          <w:tcPr>
            <w:tcW w:w="4740" w:type="dxa"/>
            <w:vAlign w:val="bottom"/>
            <w:shd w:val="clear" w:color="auto" w:fill="EEEEEE"/>
          </w:tcPr>
          <w:p>
            <w:pPr>
              <w:spacing w:after="0"/>
              <w:rPr>
                <w:sz w:val="19"/>
                <w:szCs w:val="19"/>
                <w:color w:val="auto"/>
              </w:rPr>
            </w:pPr>
          </w:p>
        </w:tc>
        <w:tc>
          <w:tcPr>
            <w:tcW w:w="100" w:type="dxa"/>
            <w:vAlign w:val="bottom"/>
            <w:tcBorders>
              <w:bottom w:val="single" w:sz="8" w:color="auto"/>
            </w:tcBorders>
            <w:shd w:val="clear" w:color="auto" w:fill="EEEEEE"/>
          </w:tcPr>
          <w:p>
            <w:pPr>
              <w:spacing w:after="0"/>
              <w:rPr>
                <w:sz w:val="19"/>
                <w:szCs w:val="19"/>
                <w:color w:val="auto"/>
              </w:rPr>
            </w:pPr>
          </w:p>
        </w:tc>
        <w:tc>
          <w:tcPr>
            <w:tcW w:w="1260" w:type="dxa"/>
            <w:vAlign w:val="bottom"/>
            <w:tcBorders>
              <w:bottom w:val="single" w:sz="8" w:color="auto"/>
            </w:tcBorders>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120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00" w:type="dxa"/>
            <w:vAlign w:val="bottom"/>
            <w:tcBorders>
              <w:bottom w:val="single" w:sz="8" w:color="auto"/>
            </w:tcBorders>
            <w:shd w:val="clear" w:color="auto" w:fill="EEEEEE"/>
          </w:tcPr>
          <w:p>
            <w:pPr>
              <w:spacing w:after="0"/>
              <w:rPr>
                <w:sz w:val="19"/>
                <w:szCs w:val="19"/>
                <w:color w:val="auto"/>
              </w:rPr>
            </w:pPr>
          </w:p>
        </w:tc>
        <w:tc>
          <w:tcPr>
            <w:tcW w:w="1240" w:type="dxa"/>
            <w:vAlign w:val="bottom"/>
            <w:tcBorders>
              <w:bottom w:val="single" w:sz="8" w:color="auto"/>
            </w:tcBorders>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r>
      <w:tr>
        <w:trPr>
          <w:trHeight w:val="263"/>
        </w:trPr>
        <w:tc>
          <w:tcPr>
            <w:tcW w:w="474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1,749,607</w:t>
            </w:r>
          </w:p>
        </w:tc>
        <w:tc>
          <w:tcPr>
            <w:tcW w:w="20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7,189,964</w:t>
            </w:r>
          </w:p>
        </w:tc>
        <w:tc>
          <w:tcPr>
            <w:tcW w:w="320" w:type="dxa"/>
            <w:vAlign w:val="bottom"/>
            <w:tcBorders>
              <w:bottom w:val="single" w:sz="8" w:color="EEEEEE"/>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11,978,080</w:t>
            </w:r>
          </w:p>
        </w:tc>
        <w:tc>
          <w:tcPr>
            <w:tcW w:w="18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25,720,971</w:t>
            </w:r>
          </w:p>
        </w:tc>
        <w:tc>
          <w:tcPr>
            <w:tcW w:w="100" w:type="dxa"/>
            <w:vAlign w:val="bottom"/>
            <w:tcBorders>
              <w:bottom w:val="single" w:sz="8" w:color="EEEEEE"/>
            </w:tcBorders>
          </w:tcPr>
          <w:p>
            <w:pPr>
              <w:spacing w:after="0"/>
              <w:rPr>
                <w:sz w:val="22"/>
                <w:szCs w:val="22"/>
                <w:color w:val="auto"/>
              </w:rPr>
            </w:pPr>
          </w:p>
        </w:tc>
      </w:tr>
      <w:tr>
        <w:trPr>
          <w:trHeight w:val="197"/>
        </w:trPr>
        <w:tc>
          <w:tcPr>
            <w:tcW w:w="47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GAAP LOSS FROM OPERATIONS</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EEEEEE"/>
          </w:tcPr>
          <w:p>
            <w:pPr>
              <w:jc w:val="right"/>
              <w:ind w:right="61"/>
              <w:spacing w:after="0"/>
              <w:rPr>
                <w:sz w:val="20"/>
                <w:szCs w:val="20"/>
                <w:color w:val="auto"/>
              </w:rPr>
            </w:pPr>
            <w:r>
              <w:rPr>
                <w:rFonts w:ascii="Times New Roman" w:cs="Times New Roman" w:eastAsia="Times New Roman" w:hAnsi="Times New Roman"/>
                <w:sz w:val="18"/>
                <w:szCs w:val="18"/>
                <w:color w:val="auto"/>
              </w:rPr>
              <w:t>(1,144,261)</w:t>
            </w:r>
          </w:p>
        </w:tc>
        <w:tc>
          <w:tcPr>
            <w:tcW w:w="3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(334,504)</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EEEEEE"/>
          </w:tcPr>
          <w:p>
            <w:pPr>
              <w:jc w:val="right"/>
              <w:ind w:right="41"/>
              <w:spacing w:after="0"/>
              <w:rPr>
                <w:sz w:val="20"/>
                <w:szCs w:val="20"/>
                <w:color w:val="auto"/>
              </w:rPr>
            </w:pPr>
            <w:r>
              <w:rPr>
                <w:rFonts w:ascii="Times New Roman" w:cs="Times New Roman" w:eastAsia="Times New Roman" w:hAnsi="Times New Roman"/>
                <w:sz w:val="18"/>
                <w:szCs w:val="18"/>
                <w:color w:val="auto"/>
              </w:rPr>
              <w:t>(5,140,596)</w:t>
            </w:r>
          </w:p>
        </w:tc>
        <w:tc>
          <w:tcPr>
            <w:tcW w:w="3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(2,824,066)</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150,203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(546,053)</w:t>
            </w:r>
          </w:p>
        </w:tc>
        <w:tc>
          <w:tcPr>
            <w:tcW w:w="100" w:type="dxa"/>
            <w:vAlign w:val="bottom"/>
          </w:tcPr>
          <w:p>
            <w:pPr>
              <w:spacing w:after="0"/>
              <w:rPr>
                <w:sz w:val="18"/>
                <w:szCs w:val="18"/>
                <w:color w:val="auto"/>
              </w:rPr>
            </w:pPr>
          </w:p>
        </w:tc>
        <w:tc>
          <w:tcPr>
            <w:tcW w:w="14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1,450,608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142,780</w:t>
            </w:r>
          </w:p>
        </w:tc>
      </w:tr>
      <w:tr>
        <w:trPr>
          <w:trHeight w:val="229"/>
        </w:trPr>
        <w:tc>
          <w:tcPr>
            <w:tcW w:w="4740" w:type="dxa"/>
            <w:vAlign w:val="bottom"/>
            <w:shd w:val="clear" w:color="auto" w:fill="EEEEEE"/>
          </w:tcPr>
          <w:p>
            <w:pPr>
              <w:spacing w:after="0"/>
              <w:rPr>
                <w:sz w:val="19"/>
                <w:szCs w:val="19"/>
                <w:color w:val="auto"/>
              </w:rPr>
            </w:pPr>
          </w:p>
        </w:tc>
        <w:tc>
          <w:tcPr>
            <w:tcW w:w="100" w:type="dxa"/>
            <w:vAlign w:val="bottom"/>
            <w:tcBorders>
              <w:bottom w:val="single" w:sz="8" w:color="auto"/>
            </w:tcBorders>
            <w:shd w:val="clear" w:color="auto" w:fill="EEEEEE"/>
          </w:tcPr>
          <w:p>
            <w:pPr>
              <w:spacing w:after="0"/>
              <w:rPr>
                <w:sz w:val="19"/>
                <w:szCs w:val="19"/>
                <w:color w:val="auto"/>
              </w:rPr>
            </w:pPr>
          </w:p>
        </w:tc>
        <w:tc>
          <w:tcPr>
            <w:tcW w:w="1260" w:type="dxa"/>
            <w:vAlign w:val="bottom"/>
            <w:tcBorders>
              <w:bottom w:val="single" w:sz="8" w:color="auto"/>
            </w:tcBorders>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120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00" w:type="dxa"/>
            <w:vAlign w:val="bottom"/>
            <w:tcBorders>
              <w:bottom w:val="single" w:sz="8" w:color="auto"/>
            </w:tcBorders>
            <w:shd w:val="clear" w:color="auto" w:fill="EEEEEE"/>
          </w:tcPr>
          <w:p>
            <w:pPr>
              <w:spacing w:after="0"/>
              <w:rPr>
                <w:sz w:val="19"/>
                <w:szCs w:val="19"/>
                <w:color w:val="auto"/>
              </w:rPr>
            </w:pPr>
          </w:p>
        </w:tc>
        <w:tc>
          <w:tcPr>
            <w:tcW w:w="1240" w:type="dxa"/>
            <w:vAlign w:val="bottom"/>
            <w:tcBorders>
              <w:bottom w:val="single" w:sz="8" w:color="auto"/>
            </w:tcBorders>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r>
      <w:tr>
        <w:trPr>
          <w:trHeight w:val="263"/>
        </w:trPr>
        <w:tc>
          <w:tcPr>
            <w:tcW w:w="474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NON-GAAP LOSS FROM OPERATIONS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(994,058</w:t>
            </w:r>
          </w:p>
        </w:tc>
        <w:tc>
          <w:tcPr>
            <w:tcW w:w="200" w:type="dxa"/>
            <w:vAlign w:val="bottom"/>
            <w:tcBorders>
              <w:bottom w:val="single" w:sz="8" w:color="EEEEEE"/>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EEEEEE"/>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(880,557</w:t>
            </w:r>
          </w:p>
        </w:tc>
        <w:tc>
          <w:tcPr>
            <w:tcW w:w="320" w:type="dxa"/>
            <w:vAlign w:val="bottom"/>
            <w:tcBorders>
              <w:bottom w:val="single" w:sz="8" w:color="EEEEEE"/>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(3,689,988</w:t>
            </w:r>
          </w:p>
        </w:tc>
        <w:tc>
          <w:tcPr>
            <w:tcW w:w="180" w:type="dxa"/>
            <w:vAlign w:val="bottom"/>
            <w:tcBorders>
              <w:bottom w:val="single" w:sz="8" w:color="EEEEEE"/>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EEEEEE"/>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(2,681,286</w:t>
            </w:r>
          </w:p>
        </w:tc>
        <w:tc>
          <w:tcPr>
            <w:tcW w:w="10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47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GAAP OTHER INCOME (EXPENSE)</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EEEEEE"/>
          </w:tcPr>
          <w:p>
            <w:pPr>
              <w:jc w:val="right"/>
              <w:ind w:right="61"/>
              <w:spacing w:after="0"/>
              <w:rPr>
                <w:sz w:val="20"/>
                <w:szCs w:val="20"/>
                <w:color w:val="auto"/>
              </w:rPr>
            </w:pPr>
            <w:r>
              <w:rPr>
                <w:rFonts w:ascii="Times New Roman" w:cs="Times New Roman" w:eastAsia="Times New Roman" w:hAnsi="Times New Roman"/>
                <w:sz w:val="18"/>
                <w:szCs w:val="18"/>
                <w:color w:val="auto"/>
              </w:rPr>
              <w:t>(4,463,615)</w:t>
            </w:r>
          </w:p>
        </w:tc>
        <w:tc>
          <w:tcPr>
            <w:tcW w:w="3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(47,713)</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EEEEEE"/>
          </w:tcPr>
          <w:p>
            <w:pPr>
              <w:jc w:val="right"/>
              <w:ind w:right="41"/>
              <w:spacing w:after="0"/>
              <w:rPr>
                <w:sz w:val="20"/>
                <w:szCs w:val="20"/>
                <w:color w:val="auto"/>
              </w:rPr>
            </w:pPr>
            <w:r>
              <w:rPr>
                <w:rFonts w:ascii="Times New Roman" w:cs="Times New Roman" w:eastAsia="Times New Roman" w:hAnsi="Times New Roman"/>
                <w:sz w:val="18"/>
                <w:szCs w:val="18"/>
                <w:color w:val="auto"/>
              </w:rPr>
              <w:t>(3,291,599)</w:t>
            </w:r>
          </w:p>
        </w:tc>
        <w:tc>
          <w:tcPr>
            <w:tcW w:w="3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(317,788)</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discount and non-cash financing costs</w:t>
            </w:r>
          </w:p>
        </w:tc>
        <w:tc>
          <w:tcPr>
            <w:tcW w:w="100" w:type="dxa"/>
            <w:vAlign w:val="bottom"/>
          </w:tcPr>
          <w:p>
            <w:pPr>
              <w:spacing w:after="0"/>
              <w:rPr>
                <w:sz w:val="18"/>
                <w:szCs w:val="18"/>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247,551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269,782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125,906</w:t>
            </w: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21"/>
              <w:spacing w:after="0"/>
              <w:rPr>
                <w:sz w:val="20"/>
                <w:szCs w:val="20"/>
                <w:color w:val="auto"/>
              </w:rPr>
            </w:pPr>
            <w:r>
              <w:rPr>
                <w:rFonts w:ascii="Times New Roman" w:cs="Times New Roman" w:eastAsia="Times New Roman" w:hAnsi="Times New Roman"/>
                <w:sz w:val="18"/>
                <w:szCs w:val="18"/>
                <w:color w:val="auto"/>
              </w:rPr>
              <w:t>539,634</w:t>
            </w: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01"/>
              <w:spacing w:after="0"/>
              <w:rPr>
                <w:sz w:val="20"/>
                <w:szCs w:val="20"/>
                <w:color w:val="auto"/>
              </w:rPr>
            </w:pPr>
            <w:r>
              <w:rPr>
                <w:rFonts w:ascii="Times New Roman" w:cs="Times New Roman" w:eastAsia="Times New Roman" w:hAnsi="Times New Roman"/>
                <w:sz w:val="18"/>
                <w:szCs w:val="18"/>
                <w:color w:val="auto"/>
              </w:rPr>
              <w:t>563,734</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100" w:type="dxa"/>
            <w:vAlign w:val="bottom"/>
          </w:tcPr>
          <w:p>
            <w:pPr>
              <w:spacing w:after="0"/>
              <w:rPr>
                <w:sz w:val="18"/>
                <w:szCs w:val="18"/>
                <w:color w:val="auto"/>
              </w:rPr>
            </w:pPr>
          </w:p>
        </w:tc>
        <w:tc>
          <w:tcPr>
            <w:tcW w:w="14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(89,600)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(266,200)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Unrealized gain (loss) on digital assets</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21"/>
              <w:spacing w:after="0"/>
              <w:rPr>
                <w:sz w:val="20"/>
                <w:szCs w:val="20"/>
                <w:color w:val="auto"/>
              </w:rPr>
            </w:pPr>
            <w:r>
              <w:rPr>
                <w:rFonts w:ascii="Times New Roman" w:cs="Times New Roman" w:eastAsia="Times New Roman" w:hAnsi="Times New Roman"/>
                <w:sz w:val="18"/>
                <w:szCs w:val="18"/>
                <w:color w:val="auto"/>
              </w:rPr>
              <w:t>549,932</w:t>
            </w: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01"/>
              <w:spacing w:after="0"/>
              <w:rPr>
                <w:sz w:val="20"/>
                <w:szCs w:val="20"/>
                <w:color w:val="auto"/>
              </w:rPr>
            </w:pPr>
            <w:r>
              <w:rPr>
                <w:rFonts w:ascii="Times New Roman" w:cs="Times New Roman" w:eastAsia="Times New Roman" w:hAnsi="Times New Roman"/>
                <w:sz w:val="18"/>
                <w:szCs w:val="18"/>
                <w:color w:val="auto"/>
              </w:rPr>
              <w:t>544,173</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 goodwill</w:t>
            </w:r>
          </w:p>
        </w:tc>
        <w:tc>
          <w:tcPr>
            <w:tcW w:w="100" w:type="dxa"/>
            <w:vAlign w:val="bottom"/>
          </w:tcPr>
          <w:p>
            <w:pPr>
              <w:spacing w:after="0"/>
              <w:rPr>
                <w:sz w:val="18"/>
                <w:szCs w:val="18"/>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3,034,110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3,034,110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40" w:type="dxa"/>
            <w:vAlign w:val="bottom"/>
            <w:shd w:val="clear" w:color="auto" w:fill="EEEEEE"/>
          </w:tcPr>
          <w:p>
            <w:pPr>
              <w:spacing w:after="0"/>
              <w:rPr>
                <w:sz w:val="19"/>
                <w:szCs w:val="19"/>
                <w:color w:val="auto"/>
              </w:rPr>
            </w:pPr>
          </w:p>
        </w:tc>
        <w:tc>
          <w:tcPr>
            <w:tcW w:w="100" w:type="dxa"/>
            <w:vAlign w:val="bottom"/>
            <w:tcBorders>
              <w:bottom w:val="single" w:sz="8" w:color="auto"/>
            </w:tcBorders>
            <w:shd w:val="clear" w:color="auto" w:fill="EEEEEE"/>
          </w:tcPr>
          <w:p>
            <w:pPr>
              <w:spacing w:after="0"/>
              <w:rPr>
                <w:sz w:val="19"/>
                <w:szCs w:val="19"/>
                <w:color w:val="auto"/>
              </w:rPr>
            </w:pPr>
          </w:p>
        </w:tc>
        <w:tc>
          <w:tcPr>
            <w:tcW w:w="1260" w:type="dxa"/>
            <w:vAlign w:val="bottom"/>
            <w:tcBorders>
              <w:bottom w:val="single" w:sz="8" w:color="auto"/>
            </w:tcBorders>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120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00" w:type="dxa"/>
            <w:vAlign w:val="bottom"/>
            <w:tcBorders>
              <w:bottom w:val="single" w:sz="8" w:color="auto"/>
            </w:tcBorders>
            <w:shd w:val="clear" w:color="auto" w:fill="EEEEEE"/>
          </w:tcPr>
          <w:p>
            <w:pPr>
              <w:spacing w:after="0"/>
              <w:rPr>
                <w:sz w:val="19"/>
                <w:szCs w:val="19"/>
                <w:color w:val="auto"/>
              </w:rPr>
            </w:pPr>
          </w:p>
        </w:tc>
        <w:tc>
          <w:tcPr>
            <w:tcW w:w="1240" w:type="dxa"/>
            <w:vAlign w:val="bottom"/>
            <w:tcBorders>
              <w:bottom w:val="single" w:sz="8" w:color="auto"/>
            </w:tcBorders>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r>
      <w:tr>
        <w:trPr>
          <w:trHeight w:val="263"/>
        </w:trPr>
        <w:tc>
          <w:tcPr>
            <w:tcW w:w="474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NON-GAAP OTHER INCOME (EXPENSE)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(181,988</w:t>
            </w:r>
          </w:p>
        </w:tc>
        <w:tc>
          <w:tcPr>
            <w:tcW w:w="200" w:type="dxa"/>
            <w:vAlign w:val="bottom"/>
            <w:tcBorders>
              <w:bottom w:val="single" w:sz="8" w:color="EEEEEE"/>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EEEEEE"/>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(47,713</w:t>
            </w:r>
          </w:p>
        </w:tc>
        <w:tc>
          <w:tcPr>
            <w:tcW w:w="320" w:type="dxa"/>
            <w:vAlign w:val="bottom"/>
            <w:tcBorders>
              <w:bottom w:val="single" w:sz="8" w:color="EEEEEE"/>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854,000</w:t>
            </w:r>
          </w:p>
        </w:tc>
        <w:tc>
          <w:tcPr>
            <w:tcW w:w="18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(191,882</w:t>
            </w:r>
          </w:p>
        </w:tc>
        <w:tc>
          <w:tcPr>
            <w:tcW w:w="10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47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GAAP NET LOSS ATTRIBUTABLE TO IPOWER INC.</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EEEEEE"/>
          </w:tcPr>
          <w:p>
            <w:pPr>
              <w:jc w:val="right"/>
              <w:ind w:right="61"/>
              <w:spacing w:after="0"/>
              <w:rPr>
                <w:sz w:val="20"/>
                <w:szCs w:val="20"/>
                <w:color w:val="auto"/>
              </w:rPr>
            </w:pPr>
            <w:r>
              <w:rPr>
                <w:rFonts w:ascii="Times New Roman" w:cs="Times New Roman" w:eastAsia="Times New Roman" w:hAnsi="Times New Roman"/>
                <w:sz w:val="18"/>
                <w:szCs w:val="18"/>
                <w:color w:val="auto"/>
              </w:rPr>
              <w:t>(3,454,878)</w:t>
            </w:r>
          </w:p>
        </w:tc>
        <w:tc>
          <w:tcPr>
            <w:tcW w:w="3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(339,599)</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EEEEEE"/>
          </w:tcPr>
          <w:p>
            <w:pPr>
              <w:jc w:val="right"/>
              <w:ind w:right="41"/>
              <w:spacing w:after="0"/>
              <w:rPr>
                <w:sz w:val="20"/>
                <w:szCs w:val="20"/>
                <w:color w:val="auto"/>
              </w:rPr>
            </w:pPr>
            <w:r>
              <w:rPr>
                <w:rFonts w:ascii="Times New Roman" w:cs="Times New Roman" w:eastAsia="Times New Roman" w:hAnsi="Times New Roman"/>
                <w:sz w:val="18"/>
                <w:szCs w:val="18"/>
                <w:color w:val="auto"/>
              </w:rPr>
              <w:t>(5,181,807)</w:t>
            </w:r>
          </w:p>
        </w:tc>
        <w:tc>
          <w:tcPr>
            <w:tcW w:w="3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(2,150,061)</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150,203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(546,053)</w:t>
            </w:r>
          </w:p>
        </w:tc>
        <w:tc>
          <w:tcPr>
            <w:tcW w:w="100" w:type="dxa"/>
            <w:vAlign w:val="bottom"/>
          </w:tcPr>
          <w:p>
            <w:pPr>
              <w:spacing w:after="0"/>
              <w:rPr>
                <w:sz w:val="18"/>
                <w:szCs w:val="18"/>
                <w:color w:val="auto"/>
              </w:rPr>
            </w:pPr>
          </w:p>
        </w:tc>
        <w:tc>
          <w:tcPr>
            <w:tcW w:w="14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1,450,608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142,780</w:t>
            </w: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Amortization of debt discount and non-cash financing costs</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21"/>
              <w:spacing w:after="0"/>
              <w:rPr>
                <w:sz w:val="20"/>
                <w:szCs w:val="20"/>
                <w:color w:val="auto"/>
              </w:rPr>
            </w:pPr>
            <w:r>
              <w:rPr>
                <w:rFonts w:ascii="Times New Roman" w:cs="Times New Roman" w:eastAsia="Times New Roman" w:hAnsi="Times New Roman"/>
                <w:sz w:val="18"/>
                <w:szCs w:val="18"/>
                <w:color w:val="auto"/>
              </w:rPr>
              <w:t>247,551</w:t>
            </w: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01"/>
              <w:spacing w:after="0"/>
              <w:rPr>
                <w:sz w:val="20"/>
                <w:szCs w:val="20"/>
                <w:color w:val="auto"/>
              </w:rPr>
            </w:pPr>
            <w:r>
              <w:rPr>
                <w:rFonts w:ascii="Times New Roman" w:cs="Times New Roman" w:eastAsia="Times New Roman" w:hAnsi="Times New Roman"/>
                <w:sz w:val="18"/>
                <w:szCs w:val="18"/>
                <w:color w:val="auto"/>
              </w:rPr>
              <w:t>269,782</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125,906</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0" w:type="dxa"/>
            <w:vAlign w:val="bottom"/>
          </w:tcPr>
          <w:p>
            <w:pPr>
              <w:spacing w:after="0"/>
              <w:rPr>
                <w:sz w:val="18"/>
                <w:szCs w:val="18"/>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539,634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563,734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61"/>
              <w:spacing w:after="0"/>
              <w:rPr>
                <w:sz w:val="20"/>
                <w:szCs w:val="20"/>
                <w:color w:val="auto"/>
              </w:rPr>
            </w:pPr>
            <w:r>
              <w:rPr>
                <w:rFonts w:ascii="Times New Roman" w:cs="Times New Roman" w:eastAsia="Times New Roman" w:hAnsi="Times New Roman"/>
                <w:sz w:val="18"/>
                <w:szCs w:val="18"/>
                <w:color w:val="auto"/>
              </w:rPr>
              <w:t>(89,600)</w:t>
            </w: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41"/>
              <w:spacing w:after="0"/>
              <w:rPr>
                <w:sz w:val="20"/>
                <w:szCs w:val="20"/>
                <w:color w:val="auto"/>
              </w:rPr>
            </w:pPr>
            <w:r>
              <w:rPr>
                <w:rFonts w:ascii="Times New Roman" w:cs="Times New Roman" w:eastAsia="Times New Roman" w:hAnsi="Times New Roman"/>
                <w:sz w:val="18"/>
                <w:szCs w:val="18"/>
                <w:color w:val="auto"/>
              </w:rPr>
              <w:t>(266,200)</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(loss) on digital assets</w:t>
            </w:r>
          </w:p>
        </w:tc>
        <w:tc>
          <w:tcPr>
            <w:tcW w:w="100" w:type="dxa"/>
            <w:vAlign w:val="bottom"/>
          </w:tcPr>
          <w:p>
            <w:pPr>
              <w:spacing w:after="0"/>
              <w:rPr>
                <w:sz w:val="18"/>
                <w:szCs w:val="18"/>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549,932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544,173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Impairment loss - goodwill</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21"/>
              <w:spacing w:after="0"/>
              <w:rPr>
                <w:sz w:val="20"/>
                <w:szCs w:val="20"/>
                <w:color w:val="auto"/>
              </w:rPr>
            </w:pPr>
            <w:r>
              <w:rPr>
                <w:rFonts w:ascii="Times New Roman" w:cs="Times New Roman" w:eastAsia="Times New Roman" w:hAnsi="Times New Roman"/>
                <w:sz w:val="18"/>
                <w:szCs w:val="18"/>
                <w:color w:val="auto"/>
              </w:rPr>
              <w:t>3,034,110</w:t>
            </w: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01"/>
              <w:spacing w:after="0"/>
              <w:rPr>
                <w:sz w:val="20"/>
                <w:szCs w:val="20"/>
                <w:color w:val="auto"/>
              </w:rPr>
            </w:pPr>
            <w:r>
              <w:rPr>
                <w:rFonts w:ascii="Times New Roman" w:cs="Times New Roman" w:eastAsia="Times New Roman" w:hAnsi="Times New Roman"/>
                <w:sz w:val="18"/>
                <w:szCs w:val="18"/>
                <w:color w:val="auto"/>
              </w:rPr>
              <w:t>3,034,110</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Tax adjustment</w:t>
            </w:r>
          </w:p>
        </w:tc>
        <w:tc>
          <w:tcPr>
            <w:tcW w:w="100" w:type="dxa"/>
            <w:vAlign w:val="bottom"/>
          </w:tcPr>
          <w:p>
            <w:pPr>
              <w:spacing w:after="0"/>
              <w:rPr>
                <w:sz w:val="19"/>
                <w:szCs w:val="19"/>
                <w:color w:val="auto"/>
              </w:rPr>
            </w:pPr>
          </w:p>
        </w:tc>
        <w:tc>
          <w:tcPr>
            <w:tcW w:w="14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(1,240,186)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152,805</w:t>
            </w:r>
          </w:p>
        </w:tc>
        <w:tc>
          <w:tcPr>
            <w:tcW w:w="100" w:type="dxa"/>
            <w:vAlign w:val="bottom"/>
          </w:tcPr>
          <w:p>
            <w:pPr>
              <w:spacing w:after="0"/>
              <w:rPr>
                <w:sz w:val="19"/>
                <w:szCs w:val="19"/>
                <w:color w:val="auto"/>
              </w:rPr>
            </w:pPr>
          </w:p>
        </w:tc>
        <w:tc>
          <w:tcPr>
            <w:tcW w:w="14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(1,566,020)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(75,188)</w:t>
            </w:r>
          </w:p>
        </w:tc>
      </w:tr>
      <w:tr>
        <w:trPr>
          <w:trHeight w:val="178"/>
        </w:trPr>
        <w:tc>
          <w:tcPr>
            <w:tcW w:w="4740" w:type="dxa"/>
            <w:vAlign w:val="bottom"/>
            <w:tcBorders>
              <w:top w:val="single" w:sz="8" w:color="EEEEEE"/>
            </w:tcBorders>
            <w:shd w:val="clear" w:color="auto" w:fill="EEEEEE"/>
          </w:tcPr>
          <w:p>
            <w:pPr>
              <w:spacing w:after="0" w:line="177" w:lineRule="exact"/>
              <w:rPr>
                <w:sz w:val="20"/>
                <w:szCs w:val="20"/>
                <w:color w:val="auto"/>
              </w:rPr>
            </w:pPr>
            <w:r>
              <w:rPr>
                <w:rFonts w:ascii="Times New Roman" w:cs="Times New Roman" w:eastAsia="Times New Roman" w:hAnsi="Times New Roman"/>
                <w:sz w:val="18"/>
                <w:szCs w:val="18"/>
                <w:color w:val="auto"/>
              </w:rPr>
              <w:t>NON-GAAP NET LOSS ATTRIBUTABLE TO IPOWER</w:t>
            </w:r>
          </w:p>
        </w:tc>
        <w:tc>
          <w:tcPr>
            <w:tcW w:w="100" w:type="dxa"/>
            <w:vAlign w:val="bottom"/>
            <w:tcBorders>
              <w:top w:val="single" w:sz="8" w:color="auto"/>
            </w:tcBorders>
            <w:shd w:val="clear" w:color="auto" w:fill="EEEEEE"/>
          </w:tcPr>
          <w:p>
            <w:pPr>
              <w:spacing w:after="0"/>
              <w:rPr>
                <w:sz w:val="15"/>
                <w:szCs w:val="15"/>
                <w:color w:val="auto"/>
              </w:rPr>
            </w:pPr>
          </w:p>
        </w:tc>
        <w:tc>
          <w:tcPr>
            <w:tcW w:w="1260" w:type="dxa"/>
            <w:vAlign w:val="bottom"/>
            <w:tcBorders>
              <w:top w:val="single" w:sz="8" w:color="auto"/>
            </w:tcBorders>
            <w:shd w:val="clear" w:color="auto" w:fill="EEEEEE"/>
          </w:tcPr>
          <w:p>
            <w:pPr>
              <w:spacing w:after="0"/>
              <w:rPr>
                <w:sz w:val="15"/>
                <w:szCs w:val="15"/>
                <w:color w:val="auto"/>
              </w:rPr>
            </w:pPr>
          </w:p>
        </w:tc>
        <w:tc>
          <w:tcPr>
            <w:tcW w:w="200" w:type="dxa"/>
            <w:vAlign w:val="bottom"/>
            <w:tcBorders>
              <w:top w:val="single" w:sz="8" w:color="EEEEEE"/>
            </w:tcBorders>
            <w:shd w:val="clear" w:color="auto" w:fill="EEEEEE"/>
          </w:tcPr>
          <w:p>
            <w:pPr>
              <w:spacing w:after="0"/>
              <w:rPr>
                <w:sz w:val="15"/>
                <w:szCs w:val="15"/>
                <w:color w:val="auto"/>
              </w:rPr>
            </w:pPr>
          </w:p>
        </w:tc>
        <w:tc>
          <w:tcPr>
            <w:tcW w:w="140" w:type="dxa"/>
            <w:vAlign w:val="bottom"/>
            <w:tcBorders>
              <w:top w:val="single" w:sz="8" w:color="EEEEEE"/>
            </w:tcBorders>
            <w:shd w:val="clear" w:color="auto" w:fill="EEEEEE"/>
          </w:tcPr>
          <w:p>
            <w:pPr>
              <w:spacing w:after="0"/>
              <w:rPr>
                <w:sz w:val="15"/>
                <w:szCs w:val="15"/>
                <w:color w:val="auto"/>
              </w:rPr>
            </w:pPr>
          </w:p>
        </w:tc>
        <w:tc>
          <w:tcPr>
            <w:tcW w:w="180" w:type="dxa"/>
            <w:vAlign w:val="bottom"/>
            <w:tcBorders>
              <w:top w:val="single" w:sz="8" w:color="auto"/>
            </w:tcBorders>
            <w:shd w:val="clear" w:color="auto" w:fill="EEEEEE"/>
          </w:tcPr>
          <w:p>
            <w:pPr>
              <w:spacing w:after="0"/>
              <w:rPr>
                <w:sz w:val="15"/>
                <w:szCs w:val="15"/>
                <w:color w:val="auto"/>
              </w:rPr>
            </w:pPr>
          </w:p>
        </w:tc>
        <w:tc>
          <w:tcPr>
            <w:tcW w:w="1200" w:type="dxa"/>
            <w:vAlign w:val="bottom"/>
            <w:tcBorders>
              <w:top w:val="single" w:sz="8" w:color="auto"/>
            </w:tcBorders>
            <w:shd w:val="clear" w:color="auto" w:fill="EEEEEE"/>
          </w:tcPr>
          <w:p>
            <w:pPr>
              <w:spacing w:after="0"/>
              <w:rPr>
                <w:sz w:val="15"/>
                <w:szCs w:val="15"/>
                <w:color w:val="auto"/>
              </w:rPr>
            </w:pPr>
          </w:p>
        </w:tc>
        <w:tc>
          <w:tcPr>
            <w:tcW w:w="320" w:type="dxa"/>
            <w:vAlign w:val="bottom"/>
            <w:tcBorders>
              <w:top w:val="single" w:sz="8" w:color="EEEEEE"/>
            </w:tcBorders>
            <w:shd w:val="clear" w:color="auto" w:fill="EEEEEE"/>
          </w:tcPr>
          <w:p>
            <w:pPr>
              <w:spacing w:after="0"/>
              <w:rPr>
                <w:sz w:val="15"/>
                <w:szCs w:val="15"/>
                <w:color w:val="auto"/>
              </w:rPr>
            </w:pPr>
          </w:p>
        </w:tc>
        <w:tc>
          <w:tcPr>
            <w:tcW w:w="100" w:type="dxa"/>
            <w:vAlign w:val="bottom"/>
            <w:tcBorders>
              <w:top w:val="single" w:sz="8" w:color="auto"/>
            </w:tcBorders>
            <w:shd w:val="clear" w:color="auto" w:fill="EEEEEE"/>
          </w:tcPr>
          <w:p>
            <w:pPr>
              <w:spacing w:after="0"/>
              <w:rPr>
                <w:sz w:val="15"/>
                <w:szCs w:val="15"/>
                <w:color w:val="auto"/>
              </w:rPr>
            </w:pPr>
          </w:p>
        </w:tc>
        <w:tc>
          <w:tcPr>
            <w:tcW w:w="1240" w:type="dxa"/>
            <w:vAlign w:val="bottom"/>
            <w:tcBorders>
              <w:top w:val="single" w:sz="8" w:color="auto"/>
            </w:tcBorders>
            <w:shd w:val="clear" w:color="auto" w:fill="EEEEEE"/>
          </w:tcPr>
          <w:p>
            <w:pPr>
              <w:spacing w:after="0"/>
              <w:rPr>
                <w:sz w:val="15"/>
                <w:szCs w:val="15"/>
                <w:color w:val="auto"/>
              </w:rPr>
            </w:pPr>
          </w:p>
        </w:tc>
        <w:tc>
          <w:tcPr>
            <w:tcW w:w="180" w:type="dxa"/>
            <w:vAlign w:val="bottom"/>
            <w:tcBorders>
              <w:top w:val="single" w:sz="8" w:color="EEEEEE"/>
            </w:tcBorders>
            <w:shd w:val="clear" w:color="auto" w:fill="EEEEEE"/>
          </w:tcPr>
          <w:p>
            <w:pPr>
              <w:spacing w:after="0"/>
              <w:rPr>
                <w:sz w:val="15"/>
                <w:szCs w:val="15"/>
                <w:color w:val="auto"/>
              </w:rPr>
            </w:pPr>
          </w:p>
        </w:tc>
        <w:tc>
          <w:tcPr>
            <w:tcW w:w="14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auto"/>
            </w:tcBorders>
            <w:shd w:val="clear" w:color="auto" w:fill="EEEEEE"/>
          </w:tcPr>
          <w:p>
            <w:pPr>
              <w:spacing w:after="0"/>
              <w:rPr>
                <w:sz w:val="15"/>
                <w:szCs w:val="15"/>
                <w:color w:val="auto"/>
              </w:rPr>
            </w:pPr>
          </w:p>
        </w:tc>
        <w:tc>
          <w:tcPr>
            <w:tcW w:w="118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r>
      <w:tr>
        <w:trPr>
          <w:trHeight w:val="261"/>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EEEEEE"/>
          </w:tcPr>
          <w:p>
            <w:pPr>
              <w:jc w:val="right"/>
              <w:ind w:right="61"/>
              <w:spacing w:after="0"/>
              <w:rPr>
                <w:sz w:val="20"/>
                <w:szCs w:val="20"/>
                <w:color w:val="auto"/>
              </w:rPr>
            </w:pPr>
            <w:r>
              <w:rPr>
                <w:rFonts w:ascii="Times New Roman" w:cs="Times New Roman" w:eastAsia="Times New Roman" w:hAnsi="Times New Roman"/>
                <w:sz w:val="18"/>
                <w:szCs w:val="18"/>
                <w:color w:val="auto"/>
              </w:rPr>
              <w:t>(263,234)</w:t>
            </w:r>
          </w:p>
        </w:tc>
        <w:tc>
          <w:tcPr>
            <w:tcW w:w="3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(732,847)</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EEEEEE"/>
          </w:tcPr>
          <w:p>
            <w:pPr>
              <w:jc w:val="right"/>
              <w:ind w:right="41"/>
              <w:spacing w:after="0"/>
              <w:rPr>
                <w:sz w:val="20"/>
                <w:szCs w:val="20"/>
                <w:color w:val="auto"/>
              </w:rPr>
            </w:pPr>
            <w:r>
              <w:rPr>
                <w:rFonts w:ascii="Times New Roman" w:cs="Times New Roman" w:eastAsia="Times New Roman" w:hAnsi="Times New Roman"/>
                <w:sz w:val="18"/>
                <w:szCs w:val="18"/>
                <w:color w:val="auto"/>
              </w:rPr>
              <w:t>(1,151,620)</w:t>
            </w:r>
          </w:p>
        </w:tc>
        <w:tc>
          <w:tcPr>
            <w:tcW w:w="3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(1,956,563)</w:t>
            </w:r>
          </w:p>
        </w:tc>
      </w:tr>
      <w:tr>
        <w:trPr>
          <w:trHeight w:val="20"/>
        </w:trPr>
        <w:tc>
          <w:tcPr>
            <w:tcW w:w="47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r>
        <w:trPr>
          <w:trHeight w:val="196"/>
        </w:trPr>
        <w:tc>
          <w:tcPr>
            <w:tcW w:w="4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GAAP EARNINGS (LOSSES) PER SHARE *</w:t>
            </w:r>
          </w:p>
        </w:tc>
        <w:tc>
          <w:tcPr>
            <w:tcW w:w="10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(4.32)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30"/>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Impact of Non-GAAP adjustments</w:t>
            </w:r>
          </w:p>
        </w:tc>
        <w:tc>
          <w:tcPr>
            <w:tcW w:w="10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121"/>
              <w:spacing w:after="0"/>
              <w:rPr>
                <w:sz w:val="20"/>
                <w:szCs w:val="20"/>
                <w:color w:val="auto"/>
              </w:rPr>
            </w:pPr>
            <w:r>
              <w:rPr>
                <w:rFonts w:ascii="Times New Roman" w:cs="Times New Roman" w:eastAsia="Times New Roman" w:hAnsi="Times New Roman"/>
                <w:sz w:val="18"/>
                <w:szCs w:val="18"/>
                <w:color w:val="auto"/>
              </w:rPr>
              <w:t>2.20</w:t>
            </w:r>
          </w:p>
        </w:tc>
        <w:tc>
          <w:tcPr>
            <w:tcW w:w="1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101"/>
              <w:spacing w:after="0"/>
              <w:rPr>
                <w:sz w:val="20"/>
                <w:szCs w:val="20"/>
                <w:color w:val="auto"/>
              </w:rPr>
            </w:pPr>
            <w:r>
              <w:rPr>
                <w:rFonts w:ascii="Times New Roman" w:cs="Times New Roman" w:eastAsia="Times New Roman" w:hAnsi="Times New Roman"/>
                <w:sz w:val="18"/>
                <w:szCs w:val="18"/>
                <w:color w:val="auto"/>
              </w:rPr>
              <w:t>3.36</w:t>
            </w:r>
          </w:p>
        </w:tc>
        <w:tc>
          <w:tcPr>
            <w:tcW w:w="1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0.19</w:t>
            </w:r>
          </w:p>
        </w:tc>
      </w:tr>
      <w:tr>
        <w:trPr>
          <w:trHeight w:val="263"/>
        </w:trPr>
        <w:tc>
          <w:tcPr>
            <w:tcW w:w="474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NON-GAAP LOSSES PER SHARE *</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00" w:type="dxa"/>
            <w:vAlign w:val="bottom"/>
            <w:tcBorders>
              <w:bottom w:val="single" w:sz="8" w:color="EEEEEE"/>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EEEEEE"/>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320" w:type="dxa"/>
            <w:vAlign w:val="bottom"/>
            <w:tcBorders>
              <w:bottom w:val="single" w:sz="8" w:color="EEEEEE"/>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80" w:type="dxa"/>
            <w:vAlign w:val="bottom"/>
            <w:tcBorders>
              <w:bottom w:val="single" w:sz="8" w:color="EEEEEE"/>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EEEEEE"/>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47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74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w:t>
            </w:r>
          </w:p>
        </w:tc>
        <w:tc>
          <w:tcPr>
            <w:tcW w:w="10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4"/>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STOCK*</w:t>
            </w:r>
          </w:p>
        </w:tc>
        <w:tc>
          <w:tcPr>
            <w:tcW w:w="10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20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18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r>
      <w:tr>
        <w:trPr>
          <w:trHeight w:val="243"/>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 - GAAP and NON-GAAP</w:t>
            </w:r>
          </w:p>
        </w:tc>
        <w:tc>
          <w:tcPr>
            <w:tcW w:w="100" w:type="dxa"/>
            <w:vAlign w:val="bottom"/>
          </w:tcPr>
          <w:p>
            <w:pPr>
              <w:spacing w:after="0"/>
              <w:rPr>
                <w:sz w:val="21"/>
                <w:szCs w:val="21"/>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1,453,875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1,048,508</w:t>
            </w:r>
          </w:p>
        </w:tc>
        <w:tc>
          <w:tcPr>
            <w:tcW w:w="100" w:type="dxa"/>
            <w:vAlign w:val="bottom"/>
          </w:tcPr>
          <w:p>
            <w:pPr>
              <w:spacing w:after="0"/>
              <w:rPr>
                <w:sz w:val="21"/>
                <w:szCs w:val="21"/>
                <w:color w:val="auto"/>
              </w:rPr>
            </w:pPr>
          </w:p>
        </w:tc>
        <w:tc>
          <w:tcPr>
            <w:tcW w:w="14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1,200,110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1,047,816</w:t>
            </w:r>
          </w:p>
        </w:tc>
      </w:tr>
      <w:tr>
        <w:trPr>
          <w:trHeight w:val="20"/>
        </w:trPr>
        <w:tc>
          <w:tcPr>
            <w:tcW w:w="4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36"/>
        </w:trPr>
        <w:tc>
          <w:tcPr>
            <w:tcW w:w="4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2026-05-20T16:42:16Z</dcterms:created>
  <dcterms:modified xsi:type="dcterms:W3CDTF">2026-05-20T16:42:16Z</dcterms:modified>
</cp:coreProperties>
</file>