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ipower_s8.htm"/>
      <w:bookmarkStart w:id="1" w:name="ksipower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April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880"/>
        <w:gridCol w:w="2915"/>
      </w:tblGrid>
      <w:tr>
        <w:trPr/>
        <w:tc>
          <w:tcPr>
            <w:tcW w:w="4880" w:type="dxa"/>
            <w:tcBorders/>
            <w:vAlign w:val="center"/>
          </w:tcPr>
          <w:p>
            <w:pPr>
              <w:pStyle w:val="TableContents"/>
              <w:bidi w:val="0"/>
              <w:spacing w:before="0" w:after="283"/>
              <w:jc w:val="center"/>
              <w:rPr>
                <w:b/>
                <w:sz w:val="20"/>
              </w:rPr>
            </w:pPr>
            <w:r>
              <w:rPr>
                <w:b/>
                <w:sz w:val="20"/>
              </w:rPr>
              <w:t>Nevada</w:t>
            </w:r>
          </w:p>
        </w:tc>
        <w:tc>
          <w:tcPr>
            <w:tcW w:w="2915" w:type="dxa"/>
            <w:tcBorders/>
            <w:vAlign w:val="center"/>
          </w:tcPr>
          <w:p>
            <w:pPr>
              <w:pStyle w:val="TableContents"/>
              <w:bidi w:val="0"/>
              <w:spacing w:before="0" w:after="283"/>
              <w:jc w:val="center"/>
              <w:rPr>
                <w:b/>
                <w:sz w:val="20"/>
              </w:rPr>
            </w:pPr>
            <w:r>
              <w:rPr>
                <w:b/>
                <w:sz w:val="20"/>
              </w:rPr>
              <w:t>82-5144171</w:t>
            </w:r>
          </w:p>
        </w:tc>
      </w:tr>
      <w:tr>
        <w:trPr/>
        <w:tc>
          <w:tcPr>
            <w:tcW w:w="4880" w:type="dxa"/>
            <w:tcBorders/>
            <w:vAlign w:val="center"/>
          </w:tcPr>
          <w:p>
            <w:pPr>
              <w:pStyle w:val="TableContents"/>
              <w:bidi w:val="0"/>
              <w:spacing w:before="0" w:after="283"/>
              <w:jc w:val="center"/>
              <w:rPr>
                <w:sz w:val="20"/>
              </w:rPr>
            </w:pPr>
            <w:r>
              <w:rPr>
                <w:sz w:val="20"/>
              </w:rPr>
              <w:t>(State or other jurisdiction of incorporation or organization)</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AMENDED AND RESTATED 2020 EQUITY INCENTIVE PLAN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Chenlong Tan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(626) 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Megan J. Penick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W 52nd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415-9200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2065" w:type="dxa"/>
            <w:gridSpan w:val="2"/>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ADDITIONAL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5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of Form S-8, iPower Inc. (the “Registrant”) is filing this Registration Statement on Form S-8 with the Securities and Exchange Commission (the “Commission”) for the purpose of registering 45,000,000 additional shares of its common stock, par value $0.001 per share (“Common Stock”), under the Second Amended and Restated 2020 Equity Incentive Plan (the “Second Amended and Restated Plan”), pursuant to the shareholder approval obtained on December 21, 2025.</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2020, the Registrant’s board of directors (the “Board”) adopted, and its stockholders approved and ratified, the iPower Inc. 2020 Equity Incentive Plan (the “Initial Plan”). Further on May 5, 2021, the Registrant’s Board adopted, and its stockholders approved and ratified, an amendment to the Initial Plan (the “Amended Initial Plan”). On November 16, 2021, the Company filed a registration statement on Form S-8 registering all 5,000,0000 shares then issuable under the Amended Initial Plan. On May 6, 2024, the Registrant’s Board and its majority stockholders approved an amendment and restatement of the Amended Initial Plan, increasing the shares authorized under the Amended Initial Plan from 5,000,000 shares to 10,000,000 shares (the “First Amended and Restated Plan”). On December 21, 2025, the Registrant’s Board and majority stockholders approved an amendment of the Second Amended and Restated Plan for the sole purpose of effecting an increase in the number of shares of Common Stock available for issuance under the First Amended and Restated Plan by an additional 40,000,000 shares of Common Stock. In accordance with the instructional note to Part I of Form S-8 as promulgated by the Commission, the information specified by Part I of the Form S-8 has been omitted from this Registration Statement.</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previously registered shares of its Common Stock for issuance under the 2020 Plan on a Registration Statement on Form S-8 filed with the Commission on November 16, 2021 (File No. 333-261100 ), as amended on December 7, 2022, September 15, 2023, and November 22, 2023. Pursuant to General Instruction E to Form S-8, this Registration Statement hereby incorporates by reference the contents of the Registration Statements referenced above.</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by reference into this Registration Statement:</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pPr>
      <w:r>
        <w:rPr>
          <w:rFonts w:ascii="Times New Roman;Times;Serif" w:hAnsi="Times New Roman;Times;Serif"/>
          <w:b w:val="false"/>
          <w:i w:val="false"/>
          <w:caps w:val="false"/>
          <w:smallCaps w:val="false"/>
          <w:sz w:val="20"/>
        </w:rPr>
        <w:t xml:space="preserve">(a) The Registrant’s </w:t>
      </w:r>
      <w:hyperlink r:id="rId2">
        <w:r>
          <w:rPr>
            <w:rStyle w:val="InternetLink"/>
            <w:rFonts w:ascii="Times New Roman;Times;Serif" w:hAnsi="Times New Roman;Times;Serif"/>
            <w:b w:val="false"/>
            <w:i w:val="false"/>
            <w:caps w:val="false"/>
            <w:smallCaps w:val="false"/>
            <w:sz w:val="20"/>
          </w:rPr>
          <w:t>Annual Report on Form 10-K</w:t>
        </w:r>
      </w:hyperlink>
      <w:r>
        <w:rPr>
          <w:rFonts w:ascii="Times New Roman;Times;Serif" w:hAnsi="Times New Roman;Times;Serif"/>
          <w:b w:val="false"/>
          <w:i w:val="false"/>
          <w:caps w:val="false"/>
          <w:smallCaps w:val="false"/>
          <w:sz w:val="20"/>
        </w:rPr>
        <w:t xml:space="preserve"> for the fiscal year ended </w:t>
      </w:r>
      <w:hyperlink r:id="rId3">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filed with the Commission on October 9, 2025.</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pPr>
      <w:r>
        <w:rPr>
          <w:rFonts w:ascii="Times New Roman;Times;Serif" w:hAnsi="Times New Roman;Times;Serif"/>
          <w:b w:val="false"/>
          <w:i w:val="false"/>
          <w:caps w:val="false"/>
          <w:smallCaps w:val="false"/>
          <w:sz w:val="20"/>
        </w:rPr>
        <w:t xml:space="preserve">(b) The Registrant’s Quarterly Reports on Form 10-Q filed with the Commission on </w:t>
      </w:r>
      <w:hyperlink r:id="rId4">
        <w:r>
          <w:rPr>
            <w:rStyle w:val="InternetLink"/>
            <w:rFonts w:ascii="Times New Roman;Times;Serif" w:hAnsi="Times New Roman;Times;Serif"/>
            <w:b w:val="false"/>
            <w:i w:val="false"/>
            <w:caps w:val="false"/>
            <w:smallCaps w:val="false"/>
            <w:sz w:val="20"/>
          </w:rPr>
          <w:t>November 14, 2025</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February 20, 2026</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pPr>
      <w:r>
        <w:rPr>
          <w:rFonts w:ascii="Times New Roman;Times;Serif" w:hAnsi="Times New Roman;Times;Serif"/>
          <w:b w:val="false"/>
          <w:i w:val="false"/>
          <w:caps w:val="false"/>
          <w:smallCaps w:val="false"/>
          <w:sz w:val="20"/>
        </w:rPr>
        <w:t xml:space="preserve">(c) The Registrant’s Current Reports on Form 8-K filed with the Commission on </w:t>
      </w:r>
      <w:hyperlink r:id="rId6">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July 3,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29,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August 12,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August 19,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September 9,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September 23,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October 21,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October 22,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November 12,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December 1,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December 9,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December 23, 2025</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December 23, 2025</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December 29,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February 2,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February 10, 2026</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24">
        <w:r>
          <w:rPr>
            <w:rStyle w:val="InternetLink"/>
            <w:rFonts w:ascii="Times New Roman;Times;Serif" w:hAnsi="Times New Roman;Times;Serif"/>
            <w:b w:val="false"/>
            <w:i w:val="false"/>
            <w:caps w:val="false"/>
            <w:smallCaps w:val="false"/>
            <w:sz w:val="20"/>
          </w:rPr>
          <w:t>April 17, 2026</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pPr>
      <w:r>
        <w:rPr>
          <w:rFonts w:ascii="Times New Roman;Times;Serif" w:hAnsi="Times New Roman;Times;Serif"/>
          <w:b w:val="false"/>
          <w:i w:val="false"/>
          <w:caps w:val="false"/>
          <w:smallCaps w:val="false"/>
          <w:sz w:val="20"/>
        </w:rPr>
        <w:t xml:space="preserve">(d) The description of our capital stock contained in our registration statement on </w:t>
      </w:r>
      <w:hyperlink r:id="rId2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001-40391) filed on May 5, 2021, and any amendments or reports filed for the purposes of updating this description;</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2"/>
        <w:gridCol w:w="60"/>
        <w:gridCol w:w="9273"/>
      </w:tblGrid>
      <w:tr>
        <w:trPr/>
        <w:tc>
          <w:tcPr>
            <w:tcW w:w="872"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273" w:type="dxa"/>
            <w:tcBorders>
              <w:bottom w:val="single" w:sz="8" w:space="0" w:color="000000"/>
            </w:tcBorders>
            <w:vAlign w:val="center"/>
          </w:tcPr>
          <w:p>
            <w:pPr>
              <w:pStyle w:val="TableContents"/>
              <w:bidi w:val="0"/>
              <w:spacing w:before="0" w:after="283"/>
              <w:jc w:val="both"/>
              <w:rPr>
                <w:b/>
                <w:sz w:val="20"/>
              </w:rPr>
            </w:pPr>
            <w:r>
              <w:rPr>
                <w:b/>
                <w:sz w:val="20"/>
              </w:rPr>
              <w:t>Description of Exhibit</w:t>
            </w:r>
          </w:p>
        </w:tc>
      </w:tr>
      <w:tr>
        <w:trPr/>
        <w:tc>
          <w:tcPr>
            <w:tcW w:w="872"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r>
              <w:rPr/>
              <w:t> </w:t>
            </w:r>
          </w:p>
        </w:tc>
      </w:tr>
      <w:tr>
        <w:trPr/>
        <w:tc>
          <w:tcPr>
            <w:tcW w:w="872" w:type="dxa"/>
            <w:tcBorders/>
            <w:tcMar>
              <w:bottom w:w="0" w:type="dxa"/>
            </w:tcMar>
            <w:vAlign w:val="center"/>
          </w:tcPr>
          <w:p>
            <w:pPr>
              <w:pStyle w:val="TableContents"/>
              <w:bidi w:val="0"/>
              <w:spacing w:before="0" w:after="283"/>
              <w:jc w:val="both"/>
              <w:rPr>
                <w:sz w:val="20"/>
              </w:rPr>
            </w:pPr>
            <w:r>
              <w:rPr>
                <w:sz w:val="20"/>
              </w:rPr>
              <w:t>4.1</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r:id="rId26">
              <w:r>
                <w:rPr>
                  <w:rStyle w:val="InternetLink"/>
                  <w:sz w:val="20"/>
                </w:rPr>
                <w:t>Certificate of Designation of Series A Convertible Preferred Stock</w:t>
              </w:r>
            </w:hyperlink>
            <w:r>
              <w:rPr/>
              <w:t xml:space="preserve"> </w:t>
            </w:r>
            <w:r>
              <w:rPr>
                <w:sz w:val="20"/>
              </w:rPr>
              <w:t>(incorporated by reference to Exhibit 4.1 to the Registration Statement on Form S-1 filed February 2, 2021).</w:t>
            </w:r>
          </w:p>
        </w:tc>
      </w:tr>
      <w:tr>
        <w:trPr/>
        <w:tc>
          <w:tcPr>
            <w:tcW w:w="872" w:type="dxa"/>
            <w:tcBorders/>
            <w:tcMar>
              <w:bottom w:w="0" w:type="dxa"/>
            </w:tcMar>
            <w:vAlign w:val="center"/>
          </w:tcPr>
          <w:p>
            <w:pPr>
              <w:pStyle w:val="TableContents"/>
              <w:bidi w:val="0"/>
              <w:spacing w:before="0" w:after="283"/>
              <w:jc w:val="both"/>
              <w:rPr>
                <w:sz w:val="20"/>
              </w:rPr>
            </w:pPr>
            <w:r>
              <w:rPr>
                <w:sz w:val="20"/>
              </w:rPr>
              <w:t>4.2</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r:id="rId27">
              <w:r>
                <w:rPr>
                  <w:rStyle w:val="InternetLink"/>
                  <w:sz w:val="20"/>
                </w:rPr>
                <w:t>Form of Warrant</w:t>
              </w:r>
            </w:hyperlink>
            <w:r>
              <w:rPr>
                <w:sz w:val="20"/>
              </w:rPr>
              <w:t xml:space="preserve"> (incorporated by reference to Exhibit 4.1 to the Current Report on Form 8-K filed June 18, 2024).</w:t>
            </w:r>
          </w:p>
        </w:tc>
      </w:tr>
      <w:tr>
        <w:trPr/>
        <w:tc>
          <w:tcPr>
            <w:tcW w:w="872" w:type="dxa"/>
            <w:tcBorders/>
            <w:tcMar>
              <w:bottom w:w="0" w:type="dxa"/>
            </w:tcMar>
            <w:vAlign w:val="center"/>
          </w:tcPr>
          <w:p>
            <w:pPr>
              <w:pStyle w:val="TableContents"/>
              <w:bidi w:val="0"/>
              <w:spacing w:before="0" w:after="283"/>
              <w:jc w:val="both"/>
              <w:rPr>
                <w:sz w:val="20"/>
              </w:rPr>
            </w:pPr>
            <w:r>
              <w:rPr>
                <w:sz w:val="20"/>
              </w:rPr>
              <w:t>4.3</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r:id="rId28">
              <w:r>
                <w:rPr>
                  <w:rStyle w:val="InternetLink"/>
                  <w:sz w:val="20"/>
                </w:rPr>
                <w:t>Form of Series A Senior Secured Convertible Notes</w:t>
              </w:r>
            </w:hyperlink>
            <w:r>
              <w:rPr>
                <w:sz w:val="20"/>
              </w:rPr>
              <w:t xml:space="preserve"> (incorporated by reference to Exhibit 4.1 to the Current Report on Form 8-K/A filed December 23, 2025).</w:t>
            </w:r>
          </w:p>
        </w:tc>
      </w:tr>
      <w:tr>
        <w:trPr/>
        <w:tc>
          <w:tcPr>
            <w:tcW w:w="872" w:type="dxa"/>
            <w:tcBorders/>
            <w:tcMar>
              <w:bottom w:w="0" w:type="dxa"/>
            </w:tcMar>
            <w:vAlign w:val="center"/>
          </w:tcPr>
          <w:p>
            <w:pPr>
              <w:pStyle w:val="TableContents"/>
              <w:bidi w:val="0"/>
              <w:spacing w:before="0" w:after="283"/>
              <w:jc w:val="both"/>
              <w:rPr>
                <w:sz w:val="20"/>
              </w:rPr>
            </w:pPr>
            <w:r>
              <w:rPr>
                <w:sz w:val="20"/>
              </w:rPr>
              <w:t>4.4</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r:id="rId29">
              <w:r>
                <w:rPr>
                  <w:rStyle w:val="InternetLink"/>
                  <w:sz w:val="20"/>
                </w:rPr>
                <w:t>Form of Series B Senior Secured Convertible Notes</w:t>
              </w:r>
            </w:hyperlink>
            <w:r>
              <w:rPr>
                <w:sz w:val="20"/>
              </w:rPr>
              <w:t xml:space="preserve"> (incorporated by reference to Exhibit 4.2 to the Current Report on Form 8-K/A filed December 23, 2025).</w:t>
            </w:r>
          </w:p>
        </w:tc>
      </w:tr>
      <w:tr>
        <w:trPr/>
        <w:tc>
          <w:tcPr>
            <w:tcW w:w="872" w:type="dxa"/>
            <w:tcBorders/>
            <w:tcMar>
              <w:bottom w:w="0" w:type="dxa"/>
            </w:tcMar>
            <w:vAlign w:val="center"/>
          </w:tcPr>
          <w:p>
            <w:pPr>
              <w:pStyle w:val="TableContents"/>
              <w:bidi w:val="0"/>
              <w:spacing w:before="0" w:after="283"/>
              <w:jc w:val="both"/>
              <w:rPr>
                <w:sz w:val="20"/>
              </w:rPr>
            </w:pPr>
            <w:r>
              <w:rPr>
                <w:sz w:val="20"/>
              </w:rPr>
              <w:t>4.5</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r:id="rId30">
              <w:r>
                <w:rPr>
                  <w:rStyle w:val="InternetLink"/>
                  <w:sz w:val="20"/>
                </w:rPr>
                <w:t>Form of Series A Senior Secured Convertible Note</w:t>
              </w:r>
            </w:hyperlink>
            <w:r>
              <w:rPr>
                <w:sz w:val="20"/>
              </w:rPr>
              <w:t xml:space="preserve"> (incorporated by reference to Exhibit 10.1 to the Current Report on Form 10-K filed on February 10, 2026).</w:t>
            </w:r>
          </w:p>
        </w:tc>
      </w:tr>
      <w:tr>
        <w:trPr/>
        <w:tc>
          <w:tcPr>
            <w:tcW w:w="872" w:type="dxa"/>
            <w:tcBorders/>
            <w:tcMar>
              <w:bottom w:w="0" w:type="dxa"/>
            </w:tcMar>
            <w:vAlign w:val="center"/>
          </w:tcPr>
          <w:p>
            <w:pPr>
              <w:pStyle w:val="TableContents"/>
              <w:bidi w:val="0"/>
              <w:spacing w:before="0" w:after="283"/>
              <w:jc w:val="both"/>
              <w:rPr>
                <w:sz w:val="20"/>
              </w:rPr>
            </w:pPr>
            <w:r>
              <w:rPr>
                <w:sz w:val="20"/>
              </w:rPr>
              <w:t>5.1</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w:anchor="ipower_ex0501.htm">
              <w:r>
                <w:rPr>
                  <w:rStyle w:val="InternetLink"/>
                  <w:sz w:val="20"/>
                </w:rPr>
                <w:t>Legal Opinion of Dorsey &amp; Whitney LLP</w:t>
              </w:r>
            </w:hyperlink>
            <w:r>
              <w:rPr>
                <w:sz w:val="20"/>
              </w:rPr>
              <w:t xml:space="preserve">* </w:t>
            </w:r>
          </w:p>
        </w:tc>
      </w:tr>
      <w:tr>
        <w:trPr/>
        <w:tc>
          <w:tcPr>
            <w:tcW w:w="872" w:type="dxa"/>
            <w:tcBorders/>
            <w:tcMar>
              <w:bottom w:w="0" w:type="dxa"/>
            </w:tcMar>
            <w:vAlign w:val="center"/>
          </w:tcPr>
          <w:p>
            <w:pPr>
              <w:pStyle w:val="TableContents"/>
              <w:bidi w:val="0"/>
              <w:spacing w:before="0" w:after="283"/>
              <w:jc w:val="both"/>
              <w:rPr>
                <w:sz w:val="20"/>
              </w:rPr>
            </w:pPr>
            <w:r>
              <w:rPr>
                <w:sz w:val="20"/>
              </w:rPr>
              <w:t>23.1</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w:anchor="ipower_ex2301.htm">
              <w:r>
                <w:rPr>
                  <w:rStyle w:val="InternetLink"/>
                  <w:sz w:val="20"/>
                </w:rPr>
                <w:t>Consent of HTL International, LLC, independent registered public accounting firm</w:t>
              </w:r>
            </w:hyperlink>
            <w:r>
              <w:rPr>
                <w:sz w:val="20"/>
              </w:rPr>
              <w:t>*</w:t>
            </w:r>
          </w:p>
        </w:tc>
      </w:tr>
      <w:tr>
        <w:trPr/>
        <w:tc>
          <w:tcPr>
            <w:tcW w:w="872" w:type="dxa"/>
            <w:tcBorders/>
            <w:tcMar>
              <w:bottom w:w="0" w:type="dxa"/>
            </w:tcMar>
            <w:vAlign w:val="center"/>
          </w:tcPr>
          <w:p>
            <w:pPr>
              <w:pStyle w:val="TableContents"/>
              <w:bidi w:val="0"/>
              <w:spacing w:before="0" w:after="283"/>
              <w:jc w:val="both"/>
              <w:rPr>
                <w:sz w:val="20"/>
              </w:rPr>
            </w:pPr>
            <w:r>
              <w:rPr>
                <w:sz w:val="20"/>
              </w:rPr>
              <w:t>23.2</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w:anchor="ipower_ex2302.htm">
              <w:r>
                <w:rPr>
                  <w:rStyle w:val="InternetLink"/>
                  <w:sz w:val="20"/>
                </w:rPr>
                <w:t>Consent of UHY LLP, independent registered public accounting firm</w:t>
              </w:r>
            </w:hyperlink>
            <w:r>
              <w:rPr>
                <w:sz w:val="20"/>
              </w:rPr>
              <w:t>*</w:t>
            </w:r>
          </w:p>
        </w:tc>
      </w:tr>
      <w:tr>
        <w:trPr/>
        <w:tc>
          <w:tcPr>
            <w:tcW w:w="872" w:type="dxa"/>
            <w:tcBorders/>
            <w:tcMar>
              <w:bottom w:w="0" w:type="dxa"/>
            </w:tcMar>
            <w:vAlign w:val="center"/>
          </w:tcPr>
          <w:p>
            <w:pPr>
              <w:pStyle w:val="TableContents"/>
              <w:bidi w:val="0"/>
              <w:spacing w:before="0" w:after="283"/>
              <w:jc w:val="both"/>
              <w:rPr>
                <w:sz w:val="20"/>
              </w:rPr>
            </w:pPr>
            <w:r>
              <w:rPr>
                <w:sz w:val="20"/>
              </w:rPr>
              <w:t>23.3</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r>
              <w:rPr>
                <w:sz w:val="20"/>
              </w:rPr>
              <w:t xml:space="preserve">Consent of Dorsey &amp; Whitney LLP (included in </w:t>
            </w:r>
            <w:hyperlink w:anchor="ipower_ex0501.htm">
              <w:r>
                <w:rPr>
                  <w:rStyle w:val="InternetLink"/>
                  <w:sz w:val="20"/>
                </w:rPr>
                <w:t>Exhibit 5.1</w:t>
              </w:r>
            </w:hyperlink>
            <w:r>
              <w:rPr>
                <w:sz w:val="20"/>
              </w:rPr>
              <w:t>)*</w:t>
            </w:r>
          </w:p>
        </w:tc>
      </w:tr>
      <w:tr>
        <w:trPr/>
        <w:tc>
          <w:tcPr>
            <w:tcW w:w="872" w:type="dxa"/>
            <w:tcBorders/>
            <w:tcMar>
              <w:bottom w:w="0" w:type="dxa"/>
            </w:tcMar>
            <w:vAlign w:val="center"/>
          </w:tcPr>
          <w:p>
            <w:pPr>
              <w:pStyle w:val="TableContents"/>
              <w:bidi w:val="0"/>
              <w:spacing w:before="0" w:after="283"/>
              <w:jc w:val="both"/>
              <w:rPr>
                <w:sz w:val="20"/>
              </w:rPr>
            </w:pPr>
            <w:r>
              <w:rPr>
                <w:sz w:val="20"/>
              </w:rPr>
              <w:t>24.1</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w:anchor="poa">
              <w:r>
                <w:rPr>
                  <w:rStyle w:val="InternetLink"/>
                  <w:sz w:val="20"/>
                </w:rPr>
                <w:t>Powers of Attorney</w:t>
              </w:r>
            </w:hyperlink>
            <w:r>
              <w:rPr>
                <w:sz w:val="20"/>
              </w:rPr>
              <w:t xml:space="preserve">* </w:t>
            </w:r>
          </w:p>
        </w:tc>
      </w:tr>
      <w:tr>
        <w:trPr/>
        <w:tc>
          <w:tcPr>
            <w:tcW w:w="872" w:type="dxa"/>
            <w:tcBorders/>
            <w:tcMar>
              <w:bottom w:w="0" w:type="dxa"/>
            </w:tcMar>
            <w:vAlign w:val="center"/>
          </w:tcPr>
          <w:p>
            <w:pPr>
              <w:pStyle w:val="TableContents"/>
              <w:bidi w:val="0"/>
              <w:spacing w:before="0" w:after="283"/>
              <w:jc w:val="both"/>
              <w:rPr>
                <w:sz w:val="20"/>
              </w:rPr>
            </w:pPr>
            <w:r>
              <w:rPr>
                <w:sz w:val="20"/>
              </w:rPr>
              <w:t xml:space="preserve">99.1 </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w:anchor="ipower_ex9901.htm">
              <w:r>
                <w:rPr>
                  <w:rStyle w:val="InternetLink"/>
                  <w:sz w:val="20"/>
                </w:rPr>
                <w:t>iPOWER INC. Second Amended and Restated 2020 Equity Incentive Plan</w:t>
              </w:r>
            </w:hyperlink>
            <w:r>
              <w:rPr>
                <w:sz w:val="20"/>
              </w:rPr>
              <w:t>*</w:t>
            </w:r>
          </w:p>
        </w:tc>
      </w:tr>
      <w:tr>
        <w:trPr/>
        <w:tc>
          <w:tcPr>
            <w:tcW w:w="872" w:type="dxa"/>
            <w:tcBorders/>
            <w:tcMar>
              <w:bottom w:w="0" w:type="dxa"/>
            </w:tcMar>
            <w:vAlign w:val="center"/>
          </w:tcPr>
          <w:p>
            <w:pPr>
              <w:pStyle w:val="TableContents"/>
              <w:bidi w:val="0"/>
              <w:spacing w:before="0" w:after="283"/>
              <w:jc w:val="both"/>
              <w:rPr>
                <w:sz w:val="20"/>
              </w:rPr>
            </w:pPr>
            <w:r>
              <w:rPr>
                <w:sz w:val="20"/>
              </w:rPr>
              <w:t xml:space="preserve">107 </w:t>
            </w:r>
          </w:p>
        </w:tc>
        <w:tc>
          <w:tcPr>
            <w:tcW w:w="60" w:type="dxa"/>
            <w:tcBorders/>
            <w:tcMar>
              <w:bottom w:w="0" w:type="dxa"/>
            </w:tcMar>
            <w:vAlign w:val="center"/>
          </w:tcPr>
          <w:p>
            <w:pPr>
              <w:pStyle w:val="TableContents"/>
              <w:bidi w:val="0"/>
              <w:spacing w:before="0" w:after="283"/>
              <w:jc w:val="both"/>
              <w:rPr/>
            </w:pPr>
            <w:r>
              <w:rPr/>
              <w:t> </w:t>
            </w:r>
          </w:p>
        </w:tc>
        <w:tc>
          <w:tcPr>
            <w:tcW w:w="9273" w:type="dxa"/>
            <w:tcBorders/>
            <w:tcMar>
              <w:bottom w:w="0" w:type="dxa"/>
            </w:tcMar>
            <w:vAlign w:val="center"/>
          </w:tcPr>
          <w:p>
            <w:pPr>
              <w:pStyle w:val="TableContents"/>
              <w:bidi w:val="0"/>
              <w:spacing w:before="0" w:after="283"/>
              <w:jc w:val="both"/>
              <w:rPr/>
            </w:pPr>
            <w:hyperlink w:anchor="ipower_ex107.htm">
              <w:r>
                <w:rPr>
                  <w:rStyle w:val="InternetLink"/>
                  <w:sz w:val="20"/>
                </w:rPr>
                <w:t>Filing Fee Table</w:t>
              </w:r>
            </w:hyperlink>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Rancho Cucamonga of the State of California, on this 17 day of April 2026.</w:t>
      </w:r>
    </w:p>
    <w:p>
      <w:pPr>
        <w:pStyle w:val="TextBody"/>
        <w:bidi w:val="0"/>
        <w:spacing w:before="0" w:after="0"/>
        <w:ind w:left="0" w:right="0" w:firstLine="72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365"/>
        <w:gridCol w:w="2360"/>
      </w:tblGrid>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b/>
                <w:sz w:val="20"/>
              </w:rPr>
            </w:pPr>
            <w:r>
              <w:rPr>
                <w:b/>
                <w:sz w:val="20"/>
              </w:rPr>
              <w:t>IPOWER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360"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/s/ Chenlong Tan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Name: Chenlong Tan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99"/>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SIGNATURES AND POWER OF ATTORNEY</w:t>
      </w:r>
    </w:p>
    <w:p>
      <w:pPr>
        <w:pStyle w:val="TextBody"/>
        <w:bidi w:val="0"/>
        <w:spacing w:before="0" w:after="0"/>
        <w:ind w:left="0" w:right="0" w:firstLine="399"/>
        <w:jc w:val="center"/>
        <w:rPr>
          <w:caps w:val="false"/>
          <w:smallCaps w:val="false"/>
        </w:rPr>
      </w:pPr>
      <w:r>
        <w:rPr>
          <w:caps w:val="false"/>
          <w:smallCaps w:val="false"/>
        </w:rPr>
        <w:t> </w:t>
      </w:r>
    </w:p>
    <w:p>
      <w:pPr>
        <w:pStyle w:val="TextBody"/>
        <w:bidi w:val="0"/>
        <w:spacing w:before="0" w:after="0"/>
        <w:ind w:left="0" w:right="0" w:firstLine="39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constitutes and appoints Chenlong Tan as his or her true and lawful attorney-in-fact and agent, with full powers of substitution and resubstitution, for them and in their name, place and stead, in any and all capacities, to sign any and all amendments to this registration statement, and to file the same, with all exhibits thereto, and other documents in connection therewith, with the Commission, and generally to do all such things in their names and behalf in their capacities as officers and directors to enable the Company to comply with the provisions of the Securities Act of 1933 and all requirements of the Commission, granting unto said attorneys-in-fact and agents, full power and authority to do and perform each and every act and thing requisite and necessary to be done in connection therewith, as fully to all intents and purposes as he or she might or could do in person, ratifying and confirming all that said attorneys-in-fact and agents or his or her substitutes or substitute, may lawfully do or cause to be done by virtue hereof.</w:t>
      </w:r>
    </w:p>
    <w:p>
      <w:pPr>
        <w:pStyle w:val="TextBody"/>
        <w:bidi w:val="0"/>
        <w:spacing w:before="0" w:after="0"/>
        <w:ind w:left="0" w:right="0" w:firstLine="399"/>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5"/>
        <w:gridCol w:w="60"/>
        <w:gridCol w:w="7087"/>
        <w:gridCol w:w="60"/>
        <w:gridCol w:w="1143"/>
      </w:tblGrid>
      <w:tr>
        <w:trPr/>
        <w:tc>
          <w:tcPr>
            <w:tcW w:w="1855" w:type="dxa"/>
            <w:tcBorders>
              <w:bottom w:val="single" w:sz="8" w:space="0" w:color="000000"/>
            </w:tcBorders>
            <w:vAlign w:val="center"/>
          </w:tcPr>
          <w:p>
            <w:pPr>
              <w:pStyle w:val="TableContents"/>
              <w:bidi w:val="0"/>
              <w:spacing w:before="0" w:after="283"/>
              <w:jc w:val="left"/>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7087"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43"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18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bottom w:val="single" w:sz="8" w:space="0" w:color="000000"/>
            </w:tcBorders>
            <w:vAlign w:val="center"/>
          </w:tcPr>
          <w:p>
            <w:pPr>
              <w:pStyle w:val="TableContents"/>
              <w:bidi w:val="0"/>
              <w:spacing w:before="0" w:after="283"/>
              <w:jc w:val="left"/>
              <w:rPr>
                <w:i/>
                <w:sz w:val="20"/>
              </w:rPr>
            </w:pPr>
            <w:r>
              <w:rPr>
                <w:i/>
                <w:sz w:val="20"/>
              </w:rPr>
              <w:t>/s/ Chenlong Tan</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sz w:val="20"/>
              </w:rPr>
            </w:pPr>
            <w:r>
              <w:rPr>
                <w:sz w:val="20"/>
              </w:rPr>
              <w:t>Chief Executive Officer, Interim Chief Financial Officer, and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sz w:val="20"/>
              </w:rPr>
            </w:pPr>
            <w:r>
              <w:rPr>
                <w:sz w:val="20"/>
              </w:rPr>
              <w:t>April 17 2026</w:t>
            </w:r>
          </w:p>
        </w:tc>
      </w:tr>
      <w:tr>
        <w:trPr/>
        <w:tc>
          <w:tcPr>
            <w:tcW w:w="1855" w:type="dxa"/>
            <w:tcBorders/>
            <w:tcMar>
              <w:bottom w:w="0" w:type="dxa"/>
            </w:tcMar>
            <w:vAlign w:val="center"/>
          </w:tcPr>
          <w:p>
            <w:pPr>
              <w:pStyle w:val="TableContents"/>
              <w:bidi w:val="0"/>
              <w:spacing w:before="0" w:after="283"/>
              <w:jc w:val="left"/>
              <w:rPr>
                <w:sz w:val="20"/>
              </w:rPr>
            </w:pPr>
            <w:r>
              <w:rPr>
                <w:sz w:val="20"/>
              </w:rPr>
              <w:t>Chenlong Tan</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sz w:val="20"/>
              </w:rPr>
            </w:pPr>
            <w:r>
              <w:rPr>
                <w:sz w:val="20"/>
              </w:rPr>
              <w:t>(Principal Executive Officer and 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bottom w:val="single" w:sz="8" w:space="0" w:color="000000"/>
            </w:tcBorders>
            <w:vAlign w:val="center"/>
          </w:tcPr>
          <w:p>
            <w:pPr>
              <w:pStyle w:val="TableContents"/>
              <w:bidi w:val="0"/>
              <w:spacing w:before="0" w:after="283"/>
              <w:jc w:val="left"/>
              <w:rPr>
                <w:i/>
                <w:sz w:val="20"/>
              </w:rPr>
            </w:pPr>
            <w:r>
              <w:rPr>
                <w:i/>
                <w:sz w:val="20"/>
              </w:rPr>
              <w:t xml:space="preserve">/s/ Yi Yang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sz w:val="20"/>
              </w:rPr>
            </w:pPr>
            <w:r>
              <w:rPr>
                <w:sz w:val="20"/>
              </w:rPr>
              <w:t>April 17, 2026</w:t>
            </w:r>
          </w:p>
        </w:tc>
      </w:tr>
      <w:tr>
        <w:trPr/>
        <w:tc>
          <w:tcPr>
            <w:tcW w:w="1855" w:type="dxa"/>
            <w:tcBorders/>
            <w:tcMar>
              <w:bottom w:w="0" w:type="dxa"/>
            </w:tcMar>
            <w:vAlign w:val="center"/>
          </w:tcPr>
          <w:p>
            <w:pPr>
              <w:pStyle w:val="TableContents"/>
              <w:bidi w:val="0"/>
              <w:spacing w:before="0" w:after="283"/>
              <w:jc w:val="left"/>
              <w:rPr>
                <w:sz w:val="20"/>
              </w:rPr>
            </w:pPr>
            <w:r>
              <w:rPr>
                <w:sz w:val="20"/>
              </w:rPr>
              <w:t xml:space="preserve">Yi Yang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bottom w:val="single" w:sz="8" w:space="0" w:color="000000"/>
            </w:tcBorders>
            <w:vAlign w:val="center"/>
          </w:tcPr>
          <w:p>
            <w:pPr>
              <w:pStyle w:val="TableContents"/>
              <w:bidi w:val="0"/>
              <w:spacing w:before="0" w:after="283"/>
              <w:jc w:val="left"/>
              <w:rPr>
                <w:i/>
                <w:sz w:val="20"/>
              </w:rPr>
            </w:pPr>
            <w:r>
              <w:rPr>
                <w:i/>
                <w:sz w:val="20"/>
              </w:rPr>
              <w:t xml:space="preserve">/s/ Bennet Tchaikovsky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sz w:val="20"/>
              </w:rPr>
            </w:pPr>
            <w:r>
              <w:rPr>
                <w:sz w:val="20"/>
              </w:rPr>
              <w:t>April 17, 2026</w:t>
            </w:r>
          </w:p>
        </w:tc>
      </w:tr>
      <w:tr>
        <w:trPr/>
        <w:tc>
          <w:tcPr>
            <w:tcW w:w="1855" w:type="dxa"/>
            <w:tcBorders/>
            <w:tcMar>
              <w:bottom w:w="0" w:type="dxa"/>
            </w:tcMar>
            <w:vAlign w:val="center"/>
          </w:tcPr>
          <w:p>
            <w:pPr>
              <w:pStyle w:val="TableContents"/>
              <w:bidi w:val="0"/>
              <w:spacing w:before="0" w:after="283"/>
              <w:jc w:val="left"/>
              <w:rPr>
                <w:sz w:val="20"/>
              </w:rPr>
            </w:pPr>
            <w:r>
              <w:rPr>
                <w:sz w:val="20"/>
              </w:rPr>
              <w:t xml:space="preserve">Bennet Tchaikovsky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bottom w:val="single" w:sz="8" w:space="0" w:color="000000"/>
            </w:tcBorders>
            <w:vAlign w:val="center"/>
          </w:tcPr>
          <w:p>
            <w:pPr>
              <w:pStyle w:val="TableContents"/>
              <w:bidi w:val="0"/>
              <w:spacing w:before="0" w:after="283"/>
              <w:jc w:val="left"/>
              <w:rPr>
                <w:i/>
                <w:sz w:val="20"/>
              </w:rPr>
            </w:pPr>
            <w:r>
              <w:rPr>
                <w:i/>
                <w:sz w:val="20"/>
              </w:rPr>
              <w:t xml:space="preserve">/s/ Hanxi Li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sz w:val="20"/>
              </w:rPr>
            </w:pPr>
            <w:r>
              <w:rPr>
                <w:sz w:val="20"/>
              </w:rPr>
              <w:t>April 17, 2026</w:t>
            </w:r>
          </w:p>
        </w:tc>
      </w:tr>
      <w:tr>
        <w:trPr/>
        <w:tc>
          <w:tcPr>
            <w:tcW w:w="1855" w:type="dxa"/>
            <w:tcBorders/>
            <w:tcMar>
              <w:bottom w:w="0" w:type="dxa"/>
            </w:tcMar>
            <w:vAlign w:val="center"/>
          </w:tcPr>
          <w:p>
            <w:pPr>
              <w:pStyle w:val="TableContents"/>
              <w:bidi w:val="0"/>
              <w:spacing w:before="0" w:after="283"/>
              <w:jc w:val="left"/>
              <w:rPr>
                <w:sz w:val="20"/>
              </w:rPr>
            </w:pPr>
            <w:r>
              <w:rPr>
                <w:sz w:val="20"/>
              </w:rPr>
              <w:t xml:space="preserve">Hanxi Li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r>
        <w:trPr/>
        <w:tc>
          <w:tcPr>
            <w:tcW w:w="1855" w:type="dxa"/>
            <w:tcBorders>
              <w:bottom w:val="single" w:sz="8" w:space="0" w:color="000000"/>
            </w:tcBorders>
            <w:vAlign w:val="center"/>
          </w:tcPr>
          <w:p>
            <w:pPr>
              <w:pStyle w:val="TableContents"/>
              <w:bidi w:val="0"/>
              <w:spacing w:before="0" w:after="283"/>
              <w:jc w:val="left"/>
              <w:rPr>
                <w:i/>
                <w:sz w:val="20"/>
              </w:rPr>
            </w:pPr>
            <w:r>
              <w:rPr>
                <w:i/>
                <w:sz w:val="20"/>
              </w:rPr>
              <w:t>/s/ Yue Guo</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sz w:val="20"/>
              </w:rPr>
            </w:pPr>
            <w:r>
              <w:rPr>
                <w:sz w:val="20"/>
              </w:rPr>
              <w:t>April 17, 2026</w:t>
            </w:r>
          </w:p>
        </w:tc>
      </w:tr>
      <w:tr>
        <w:trPr/>
        <w:tc>
          <w:tcPr>
            <w:tcW w:w="1855" w:type="dxa"/>
            <w:tcBorders/>
            <w:tcMar>
              <w:bottom w:w="0" w:type="dxa"/>
            </w:tcMar>
            <w:vAlign w:val="center"/>
          </w:tcPr>
          <w:p>
            <w:pPr>
              <w:pStyle w:val="TableContents"/>
              <w:bidi w:val="0"/>
              <w:spacing w:before="0" w:after="283"/>
              <w:jc w:val="left"/>
              <w:rPr>
                <w:sz w:val="20"/>
              </w:rPr>
            </w:pPr>
            <w:r>
              <w:rPr>
                <w:sz w:val="20"/>
              </w:rPr>
              <w:t xml:space="preserve">Yue Guo </w:t>
            </w:r>
          </w:p>
        </w:tc>
        <w:tc>
          <w:tcPr>
            <w:tcW w:w="60" w:type="dxa"/>
            <w:tcBorders/>
            <w:tcMar>
              <w:bottom w:w="0" w:type="dxa"/>
            </w:tcMar>
            <w:vAlign w:val="center"/>
          </w:tcPr>
          <w:p>
            <w:pPr>
              <w:pStyle w:val="TableContents"/>
              <w:bidi w:val="0"/>
              <w:spacing w:before="0" w:after="283"/>
              <w:jc w:val="left"/>
              <w:rPr/>
            </w:pPr>
            <w:r>
              <w:rPr/>
              <w:t> </w:t>
            </w:r>
          </w:p>
        </w:tc>
        <w:tc>
          <w:tcPr>
            <w:tcW w:w="70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3"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99"/>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75"/>
        <w:gridCol w:w="440"/>
        <w:gridCol w:w="75"/>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III-3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 w:name="ipower_ex0501.htm"/>
      <w:bookmarkStart w:id="4" w:name="ksipower_ex0501"/>
      <w:bookmarkEnd w:id="3"/>
      <w:bookmarkEnd w:id="4"/>
      <w:r>
        <w:rPr>
          <w:b/>
        </w:rPr>
        <w:t>Exhibit 5.1</w:t>
      </w:r>
      <w:r>
        <w:br w:type="page"/>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1809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1"/>
                    <a:stretch>
                      <a:fillRect/>
                    </a:stretch>
                  </pic:blipFill>
                  <pic:spPr bwMode="auto">
                    <a:xfrm>
                      <a:off x="0" y="0"/>
                      <a:ext cx="1809750" cy="3810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iPower Inc., a Nevada corporation (the “Company”), in connection with a Registration Statement on Form S-8 (the “Registration Statement”) filed by the Company with the Securities and Exchange Commission (the “Commission”) under the Securities Act of 1933, as amended (the “Securities Act”), relating to up to 45,000,000 additional shares of its common stock, par value $0.001 per share (the “Shares”), of the Company, that may be issued under the Second Amended and Restated 2020 Equity Incentive Plan (the “Plan”).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when issued and delivered in accordance with the terms of the Plan, will be validly issued, fully paid and non-assessable.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Chapter 78 of the Nevada Revised Statutes.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/s/ Dorsey &amp; Whitney LLP</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MJP/ AWE</w:t>
      </w:r>
    </w:p>
    <w:p>
      <w:pPr>
        <w:pStyle w:val="TextBody"/>
        <w:bidi w:val="0"/>
        <w:jc w:val="left"/>
        <w:rPr>
          <w:caps w:val="false"/>
          <w:smallCaps w:val="false"/>
        </w:rPr>
      </w:pPr>
      <w:r>
        <w:rPr>
          <w:caps w:val="false"/>
          <w:smallCaps w:val="false"/>
        </w:rPr>
        <w:t> </w:t>
      </w:r>
    </w:p>
    <w:p>
      <w:pPr>
        <w:pStyle w:val="TextBody"/>
        <w:bidi w:val="0"/>
        <w:jc w:val="right"/>
        <w:rPr>
          <w:b/>
        </w:rPr>
      </w:pPr>
      <w:bookmarkStart w:id="5" w:name="ipower_ex2301.htm"/>
      <w:bookmarkStart w:id="6" w:name="ksipower_ex2301"/>
      <w:bookmarkEnd w:id="5"/>
      <w:bookmarkEnd w:id="6"/>
      <w:r>
        <w:rPr>
          <w:b/>
        </w:rPr>
        <w:t>Exhibit 23.1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iPower Inc. (the “Company”) of our report dated October 9, 2025, relating to our audit of the consolidated financial statements of the Company as of and for the year ended June 30, 2025, appearing in the Annual Report on Form 10-K of the Company for the year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tbl>
      <w:tblPr>
        <w:tblW w:w="2225" w:type="dxa"/>
        <w:jc w:val="left"/>
        <w:tblInd w:w="0" w:type="dxa"/>
        <w:tblLayout w:type="fixed"/>
        <w:tblCellMar>
          <w:top w:w="0" w:type="dxa"/>
          <w:left w:w="0" w:type="dxa"/>
          <w:bottom w:w="0" w:type="dxa"/>
          <w:right w:w="0" w:type="dxa"/>
        </w:tblCellMar>
      </w:tblPr>
      <w:tblGrid>
        <w:gridCol w:w="2225"/>
      </w:tblGrid>
      <w:tr>
        <w:trPr/>
        <w:tc>
          <w:tcPr>
            <w:tcW w:w="222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sz w:val="20"/>
              </w:rPr>
            </w:pPr>
            <w:r>
              <w:rPr>
                <w:sz w:val="20"/>
              </w:rPr>
              <w:t>Houston, Texas</w:t>
            </w:r>
          </w:p>
        </w:tc>
      </w:tr>
      <w:tr>
        <w:trPr/>
        <w:tc>
          <w:tcPr>
            <w:tcW w:w="2225" w:type="dxa"/>
            <w:tcBorders/>
            <w:vAlign w:val="center"/>
          </w:tcPr>
          <w:p>
            <w:pPr>
              <w:pStyle w:val="TableContents"/>
              <w:bidi w:val="0"/>
              <w:spacing w:before="0" w:after="283"/>
              <w:jc w:val="left"/>
              <w:rPr>
                <w:sz w:val="20"/>
              </w:rPr>
            </w:pPr>
            <w:r>
              <w:rPr>
                <w:sz w:val="20"/>
              </w:rPr>
              <w:t>April 17,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pPr>
      <w:r>
        <w:rPr/>
        <w:t> </w:t>
      </w:r>
    </w:p>
    <w:p>
      <w:pPr>
        <w:pStyle w:val="TextBody"/>
        <w:bidi w:val="0"/>
        <w:jc w:val="right"/>
        <w:rPr>
          <w:b/>
        </w:rPr>
      </w:pPr>
      <w:bookmarkStart w:id="7" w:name="ipower_ex2302.htm"/>
      <w:bookmarkStart w:id="8" w:name="ksipower_ex2302"/>
      <w:bookmarkEnd w:id="7"/>
      <w:bookmarkEnd w:id="8"/>
      <w:r>
        <w:rPr>
          <w:b/>
        </w:rPr>
        <w:t>Exhibit 23.2</w:t>
      </w:r>
      <w:r>
        <w:br w:type="page"/>
      </w:r>
    </w:p>
    <w:p>
      <w:pPr>
        <w:pStyle w:val="TextBody"/>
        <w:bidi w:val="0"/>
        <w:spacing w:before="0" w:after="283"/>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S-8 of iPower Inc. (the “Company”) of our audit report dated September 20, 2024, relating to the Company’s consolidated financial statements as of and for the year ended June 30, 2024, appearing in the Annual Report on Form 10-K of the Company for the year ended June 30,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2026</w:t>
      </w:r>
    </w:p>
    <w:p>
      <w:pPr>
        <w:pStyle w:val="TextBody"/>
        <w:bidi w:val="0"/>
        <w:jc w:val="right"/>
        <w:rPr>
          <w:b/>
        </w:rPr>
      </w:pPr>
      <w:bookmarkStart w:id="9" w:name="ipower_ex9901.htm"/>
      <w:bookmarkStart w:id="10" w:name="ksipower_ex9901"/>
      <w:bookmarkEnd w:id="9"/>
      <w:bookmarkEnd w:id="10"/>
      <w:r>
        <w:rPr>
          <w:b/>
        </w:rPr>
        <w:t>Exhibit 99.1</w:t>
      </w:r>
      <w:r>
        <w:br w:type="page"/>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2020 EQUITY INCENTIVE PLAN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w:t>
      </w:r>
    </w:p>
    <w:p>
      <w:pPr>
        <w:pStyle w:val="TextBody"/>
        <w:bidi w:val="0"/>
        <w:jc w:val="both"/>
        <w:rPr>
          <w:caps w:val="false"/>
          <w:smallCaps w:val="false"/>
        </w:rPr>
      </w:pPr>
      <w:r>
        <w:rPr>
          <w:caps w:val="false"/>
          <w:smallCaps w:val="false"/>
        </w:rPr>
        <w:t> </w:t>
      </w:r>
    </w:p>
    <w:p>
      <w:pPr>
        <w:pStyle w:val="TextBody"/>
        <w:bidi w:val="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to attract and retain the best available personnel for positions of substantial responsibility,</w:t>
      </w:r>
    </w:p>
    <w:p>
      <w:pPr>
        <w:pStyle w:val="TextBody"/>
        <w:bidi w:val="0"/>
        <w:ind w:left="1080" w:right="0" w:hanging="360"/>
        <w:jc w:val="both"/>
        <w:rPr>
          <w:caps w:val="false"/>
          <w:smallCaps w:val="false"/>
        </w:rPr>
      </w:pPr>
      <w:r>
        <w:rPr>
          <w:caps w:val="false"/>
          <w:smallCaps w:val="false"/>
        </w:rPr>
        <w:t> </w:t>
      </w:r>
    </w:p>
    <w:p>
      <w:pPr>
        <w:pStyle w:val="TextBody"/>
        <w:bidi w:val="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to provide incentives to individuals who perform services for the Company, and</w:t>
      </w:r>
    </w:p>
    <w:p>
      <w:pPr>
        <w:pStyle w:val="TextBody"/>
        <w:bidi w:val="0"/>
        <w:ind w:left="1080" w:right="0" w:hanging="360"/>
        <w:jc w:val="both"/>
        <w:rPr>
          <w:caps w:val="false"/>
          <w:smallCaps w:val="false"/>
        </w:rPr>
      </w:pPr>
      <w:r>
        <w:rPr>
          <w:caps w:val="false"/>
          <w:smallCaps w:val="false"/>
        </w:rPr>
        <w:t> </w:t>
      </w:r>
    </w:p>
    <w:p>
      <w:pPr>
        <w:pStyle w:val="TextBody"/>
        <w:bidi w:val="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to promote the success of the Company’s business.</w:t>
      </w:r>
    </w:p>
    <w:p>
      <w:pPr>
        <w:pStyle w:val="TextBody"/>
        <w:bidi w:val="0"/>
        <w:ind w:left="108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permits the grant of Incentive Stock Options, Nonstatutory Stock Options, Stock Appreciation Rights, Restricted Stock, Restricted Stock Units, Performance Units, Performance Shares and other stock or cash awards as the Administrator may determine.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amends and restates in its entirety the Company’s Amended and Restated 2020 Equity Incentive Plan.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means the Board or any of its Committees as will be administering the Plan, in accordance with Section 4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corporation or any other entity (including, but not limited to, partnerships and joint ventures) controlling, controlled by, or under common control with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the requirements relating to the administration of equity-based awards under U.S. federal and state corporate laws, U.S. federal and state securities laws, the Code, any stock exchange or quotation system on which the Common Stock is listed or quoted and the applicable laws of any foreign country or jurisdiction where Awards are, or will be, granted under the Plans.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individually or collectively, a grant under the Plan of Options, Stock Appreciation Rights, Restricted Stock, Restricted Stock Units, Performance Units, Performance Shares and other stock or cash awards as the Administrator may determine.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the written agreement setting forth the terms and provisions applicable to each Award granted under the Plan. The Award Agreement is subject to the terms and conditions of the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of any of the following events after the Effective Date:</w:t>
      </w:r>
    </w:p>
    <w:p>
      <w:pPr>
        <w:pStyle w:val="TextBody"/>
        <w:bidi w:val="0"/>
        <w:ind w:left="0" w:right="0" w:firstLine="72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 in the ownership of the Company which occurs on the date that any one person, or more than one person acting as a group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acquires ownership of stock in the Company that, together with the stock already held by such Person, constitutes more than 50% of the total voting power of the stock of the Company; provided, however, that for purposes of this subsection (i), the acquisition of additional stock by any Person who is considered to own more than 50% of the total voting power of the stock of the Company before the acquisition will not be considered a Change in Control; or</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individuals who constitute the members of the Board cease, by reason of a financing, merger, combination, acquisition, takeover or other non-ordinary course transaction affecting the Company, to constitute at least fifty-one percent (51%) of the members of the Board; or</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consummation of any of the following events: (A)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or (B) a merger, consolidation or reorganization involving the Company, where either or both of the events described in clauses (i) or (ii) above would be the result. For purposes of this subsection (iii), the following will not constitute a change in the ownership of a substantial portion of the Company’s assets or a Change in Control: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equity or voting power of which is owned, directly or indirectly, by a Person described in subsection (iii)(B)(3) above. For purposes of this subsection (iii), gross fair market value means the value of the assets of the Company, or the value of the assets being disposed of, determined without regard to any liabilities associated with such assets.</w:t>
      </w:r>
    </w:p>
    <w:p>
      <w:pPr>
        <w:pStyle w:val="TextBody"/>
        <w:bidi w:val="0"/>
        <w:ind w:left="180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2(g), persons will be considered to be acting as a group if they are owners of a corporation or other entity that enters into a merger, consolidation, purchase or acquisition of stock, or similar business transaction with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Any reference to a section of the Code herein will be a reference to any successor or amended section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in accordance with Section 4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$0.001 per share,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iPower Inc</w:t>
      </w:r>
      <w:r>
        <w:rPr>
          <w:rFonts w:ascii="Times New Roman;Times;Serif" w:hAnsi="Times New Roman;Times;Serif"/>
          <w:b w:val="false"/>
          <w:i w:val="false"/>
          <w:caps w:val="false"/>
          <w:smallCaps w:val="false"/>
          <w:sz w:val="20"/>
        </w:rPr>
        <w:t>., a Nevada corporation, or any successor thereto.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person, including an advisor, other than an Employee engaged by the Company or a Parent, Subsidiary or Affiliate to render services to such entity.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permanent and total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have the meaning set forth in Section 17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means any person, including Officers and Directors, other than a Consultant employed by the Company or any Parent, Subsidiary or Affiliate of the Company. Neither service as a Director nor payment of a director’s fee by the Company will be sufficient to constitute “employment” by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Exchange Program</w:t>
      </w:r>
      <w:r>
        <w:rPr>
          <w:rFonts w:ascii="Times New Roman;Times;Serif" w:hAnsi="Times New Roman;Times;Serif"/>
          <w:b w:val="false"/>
          <w:i w:val="false"/>
          <w:caps w:val="false"/>
          <w:smallCaps w:val="false"/>
          <w:sz w:val="20"/>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Administrator will determine the terms and conditions of any Exchange Program in its sole discretion.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value of the Common Stock as the Administrator may determine in good faith, by reference to the closing price of such stock on any established stock exchange or on a national market system on the day of determination, if the Common Stock is so listed on any established stock exchange or on a national market system. If the Common Stock is not listed on any established stock exchange or on a national market system, the value of the Common Stock will be determined as the Administrator may determine in good faith using (i) a valuation methodology set forth in Treasury Regulation 1.409A-1(b)(5)(iv)(B) or (ii) with respect to valuations applicable to Awards that are not subject to Code Section 409A, such other valuation methods as the Administrator may select.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that by its terms qualifies and is otherwise intended to qualify as an incentive stock option within the meaning of Section 422 of the Code and the regulations promulgated thereunder.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means an Option that by its terms does not qualify or expressly provides that it is not intended to qualify as an Incentive Stock Option.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a stock option granted pursuant to Section 6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a “parent corporation,” whether now or hereafter existing, as defined in Section 424(e) of the Code.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the holder of an outstanding Award.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will have the meaning set forth in Section 11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means any Fiscal Year of the Company or such other period as determined by the Administrator in its sole discretion.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means an Award denominated in Shares which may be earned in whole or in part upon attainment of Performance Goals or other vesting criteria as the Administrator may determine pursuant to Section 10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means an Award which may be earned in whole or in part upon attainment of Performance Goals or other vesting criteria as the Administrator may determine and which may be settled for cash, Shares or other securities or a combination of the foregoing pursuant to Section 10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means the period during which transfers of Shares of Restricted Stock are subject to restrictions and, therefore, the Shares are subject to a substantial risk of forfeiture. Such restrictions may be based on the passage of time, the achievement of target levels of performance, or the occurrence of other events specified in the applicable Award, as interpreted and construed by the Administrator.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Second Amended and Restated iPower Inc. 2020 Equity Incentive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means Shares issued pursuant to an Award of Restricted Stock under Section 8 hereof, or issued pursuant to the early exercise of an Option.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9 hereof. Each Restricted Stock Unit represents an unfunded and unsecured obligation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means Rule 16b-3 of the Exchange Act or any successor to Rule 16b-3, as in effect when discretion is being exercised with respect to the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means Section 16(b) of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 Employee, Director, or Consultant.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means a share of the Common Stock, as adjusted in accordance with Section 14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means an Award, granted alone or in connection with an Option, that pursuant to Section 7 is designated as a Stock Appreciation Right.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“subsidiary corporation,” whether now or hereafter existing, as defined in Section 424(f) of the Code.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14 hereof, the maximum aggregate number of Shares that may be awarded and sold under the Plan is FIFTY MILLION (50,000,000) Shares. The Shares may be authorized, but unissued, or reacquired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If an Award expires or becomes unexercisable without having been exercised in full, or, with respect to Restricted Stock, Restricted Stock Units, Performance Shares or Performance Units, is forfeited to or repurchased by the Company, the unpurchased Shares (or for Awards other than Options and Stock Appreciation Rights, the forfeited or repurchased Shares) which were subject thereto will become available for future grant or sale under the Plan (unless the Plan has terminated). Upon exercise of a Stock Appreciation Right settled in Shares, the gross number of Shares covered by the portion of the Award so settled will cease to be available under the Plan. Shares that have actually been issued under the Plan under any Award will not be returned to the Plan and will not become available for future distribution under the Plan; provided, however, that if unvested Shares of Restricted Stock, Restricted Stock Units, Performance Shares or Performance Units are repurchased by the Company or are forfeited to the Company, such Shares will become available for future grant under the Plan. Shares subject to an Award that are transferred to or retained by the Company to pay the tax and/or exercise price of an Award will become available for future grant or sale under the Plan. To the extent an Award under the Plan is paid out in cash rather than Shares, such cash payment will not result in reducing the number of Shares available for issuance under the Plan and, for the elimination of doubt, the number of Shares of equal value to such cash payment shall become available for future grant or sale under the Plan. Notwithstanding the foregoing provisions of this Section 3(b), subject to adjustment provided in Section 14 hereof, the maximum number of Shares that may be issued upon the exercise of Incentive Stock Options will equal the aggregate Share number stated in Section 3(a) above, plus, to the extent allowable under Section 422 of the Code, any Shares that become available for issuance under the Plan under this Section 3(b).</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The Company, during the term of this Plan, will at all times reserve and keep available such number of Shares as will be sufficient to satisfy the requirements of the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Different Committees may be established with respect to different groups of Service Providers; in that event, the Committee established with respect to a group of Service Providers shall administer the Plan with respect to Awards granted to members of such group.</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To the extent desirable to qualify transactions hereunder as exempt under Rule 16b-3, the transactions contemplated hereunder will be structured to satisfy the requirements for exemption under Rule 16b-3.</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Other than as provided above, the Plan will be administered by (A) the Board or (B) a Committee, which committee will be constituted to satisfy Applicable Laws.</w:t>
      </w:r>
    </w:p>
    <w:p>
      <w:pPr>
        <w:pStyle w:val="TextBody"/>
        <w:bidi w:val="0"/>
        <w:ind w:left="180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Subject to the provisions of the Plan, and in the case of a Committee, subject to the specific duties delegated by the Board to such Committee, the Administrator will have the authority, in its discretion:</w:t>
      </w:r>
    </w:p>
    <w:p>
      <w:pPr>
        <w:pStyle w:val="TextBody"/>
        <w:bidi w:val="0"/>
        <w:ind w:left="0" w:right="0" w:firstLine="72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determine Fair Market Value;</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select the Service Providers to whom Awards may be granted hereunder;</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terms and condition, not inconsistent with the terms of the Plan, of any Award granted hereunder;</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institute an Exchange Program and to determine the terms and conditions, not inconsistent with the terms of the Plan, for (1) the surrender or cancellation of outstanding Awards in exchange for Awards of the same type, Awards of a different type, and/or cash, or (2) the reduction of the exercise price of outstanding Awards;</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construe and interpret the terms of the Plan and Awards granted pursuant to the Plan;</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prescribe, amend and rescind rules and regulations relating to the Plan, including rules and regulations relating to sub-plans established for the purpose of satisfying applicable foreign laws;</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modify or amend each Award (subject to Section 19(c) hereof);</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authorize any person to execute on behalf of the Company any instrument required to reflect or implement the grant of an Award previously granted by the Administrator;</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allow a Participant to defer the receipt of the payment of cash or the delivery of Shares that would otherwise be due to such Participant under an Award pursuant to such procedures as the Administrator may determine consistent with the requirements for compliance with or exemption from the provisions of Code Section 409A; and</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make all other determinations deemed necessary or advisable for administering the Plan.</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80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The Administrator’s decisions, determinations, and interpretations will be final and binding on all Participants and any other holders of Awards.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Nonstatutory Stock Options, Restricted Stock, Restricted Stock Units, Stock Appreciation Rights, Performance Units, Performance Shares, and such other cash or stock awards as the Administrator determines may be granted to Service Providers. Incentive Stock Options may be granted only to Employees.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(U.S.),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limits set forth in Section 3, the Administrator will have complete discretion to determine the number of Shares subject to an Option granted to any Participant.</w:t>
      </w:r>
    </w:p>
    <w:p>
      <w:pPr>
        <w:pStyle w:val="TextBody"/>
        <w:bidi w:val="0"/>
        <w:ind w:left="180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The Administrator will determine the term of each Option in its sole discretion; provided, however, that the term will be no more than ten (10) years from the date of grant thereof in the case of Incentive Stock Options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Option Exercise Price and Consideration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per share exercise price for the Shares to be issued pursuant to exercise of an Option will be determined by the Administrator, but will be no less than 100% of the Fair Market Value per Share on the date of grant. In addition,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provisions of this Section 6(c), Options may be granted with a per Share exercise price of less than 100% of the Fair Market Value per Share on the date of grant pursuant to the issuance or assumption of an Option in a transaction to which Section 424(a) of the Code applies in a manner consistent with said Section 424(a).</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Waiting Period and Exercise Dates</w:t>
      </w:r>
      <w:r>
        <w:rPr>
          <w:rFonts w:ascii="Times New Roman;Times;Serif" w:hAnsi="Times New Roman;Times;Serif"/>
          <w:b w:val="false"/>
          <w:i w:val="false"/>
          <w:caps w:val="false"/>
          <w:smallCaps w:val="false"/>
          <w:sz w:val="20"/>
        </w:rPr>
        <w:t>. At the time an Option is granted, the Administrator will fix the period within which the Option may be exercised and will determine any conditions that must be satisfied before the Option may be exercised.</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The Administrator will determine the acceptable form(s) of consideration for exercising an Option, including the method of payment, to the extent permitted by Applicable Laws including but not limited to tendering capital stock of the Company owned by a Participant, duly endorsed for transfer to the Company.</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80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any applicable withholding taxes). No adjustment will be made for a dividend or other right for which the record date is prior to the date the Shares are issued, except as provided in Section 14 hereof.</w:t>
      </w:r>
    </w:p>
    <w:p>
      <w:pPr>
        <w:pStyle w:val="TextBody"/>
        <w:bidi w:val="0"/>
        <w:ind w:left="1800" w:right="0" w:hanging="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Award Agreement or by operation of this Section 6(d)(3), the Option will terminate, and the Shares covered by such Option will revert to the Plan.</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 Participant may exercise his or her Option within such period of time as is specified in the Award Agreement to the extent the Option is vested on the date of cessation (but in no event later than the expiration of the term of such Option as set forth in the Award Agreement). In the absence of a specified time in the Award Agreement, the Option will remain exercisable for six (6) months following the date the Participant ceases to be a Service Provider. Unless otherwise provided by the Administrator, if on the date of cessation the Participant is not vested as to his or her entire Option, the Shares covered by the unvested portion of the Option will revert to the Plan. If after cessation the Participant does not exercise his or her Option within the time specified herein, the Option will terminate, and the Shares covered by such Option will revert to the Plan.</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If a Participant dies while a Service Provider, the Option may be exercised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six (6) months following Participant’s death. Unless otherwise provided by the Administrator, if at the time of death Participant is not vested as to his or her entire Option, the Shares covered by the unvested portion of the Option will continue to vest in accordance with the Award Agreement. If the Option is not so exercised within the time specified herein, the Option will terminate, and the Shares covered by such Option will revert to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have complete discretion to determine the number of Stock Appreciation Rights granted to any Participant.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The Administrator, subject to the provisions of the Plan, will have complete discretion to determine the terms and conditions of Stock Appreciation Rights granted under the Plan; provided, however, that the exercise price will be not less than 100% of the Fair Market Value of a Share on the date of grant.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Stock Appreciation Rights Agreement</w:t>
      </w:r>
      <w:r>
        <w:rPr>
          <w:rFonts w:ascii="Times New Roman;Times;Serif" w:hAnsi="Times New Roman;Times;Serif"/>
          <w:b w:val="false"/>
          <w:i w:val="false"/>
          <w:caps w:val="false"/>
          <w:smallCaps w:val="false"/>
          <w:sz w:val="20"/>
        </w:rPr>
        <w:t>.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provided, however, that the term will be no more than ten (10) years from the date of grant thereof. Notwithstanding the foregoing, the rules of Section 6(d) above also will apply to Stock Appreciation Rights.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w:t>
      </w:r>
    </w:p>
    <w:p>
      <w:pPr>
        <w:pStyle w:val="TextBody"/>
        <w:bidi w:val="0"/>
        <w:ind w:left="0" w:right="0" w:firstLine="72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difference between the Fair Market Value of a Share on the date of exercise over the “stock appreciation right exercise price,” as defined under Treasury Regulation Section 1.409A-1(b)(i)(B)(2),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the Fair Market Value of a Share on the date of grant of the Stock Appreciation Right; times</w:t>
      </w:r>
    </w:p>
    <w:p>
      <w:pPr>
        <w:pStyle w:val="TextBody"/>
        <w:bidi w:val="0"/>
        <w:ind w:left="1800" w:right="0" w:hanging="360"/>
        <w:jc w:val="both"/>
        <w:rPr>
          <w:caps w:val="false"/>
          <w:smallCaps w:val="false"/>
        </w:rPr>
      </w:pPr>
      <w:r>
        <w:rPr>
          <w:caps w:val="false"/>
          <w:smallCaps w:val="false"/>
        </w:rPr>
        <w:t> </w:t>
      </w:r>
    </w:p>
    <w:p>
      <w:pPr>
        <w:pStyle w:val="TextBody"/>
        <w:bidi w:val="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Shares with respect to which the Stock Appreciation Right is exercised.</w:t>
      </w:r>
    </w:p>
    <w:p>
      <w:pPr>
        <w:pStyle w:val="TextBody"/>
        <w:bidi w:val="0"/>
        <w:ind w:left="180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Administrator, the payment upon Stock Appreciation Right exercise may be in cash, in Shares of equivalent value, or in some combination thereof.</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Each Award of Restricted Stock will be evidenced by an Award Agreement that will specify the Period of Restriction, the number of Shares granted, and such other terms and conditions as the Administrator, in its sole discretion, will determine.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this Section 8, Shares of Restricted Stock may not be sold, transferred, pledged, assigned, or otherwise alienated or hypothecated until such Shares become non-forfeitable at the end of the applicable Period of Restriction.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advisable or appropriate.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Except as otherwise provided in this Section 8, Shares of Restricted Stock covered by each Restricted Stock grant made under the Plan will be released from escrow as soon as practicable after the last day of the Period of Restriction. The Administrator, in its discretion, may accelerate the time at which any restrictions will lapse or be removed.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During the Period of Restriction, Service Providers holding Shares of Restricted Stock granted hereunder may exercise full voting rights with respect to those Shares, unless the Administrator determines otherwise in a manner not prohibited by the Award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 with respect to which they were paid.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On the date set forth in the Award Agreement, the Restricted Stock for which restrictions have not lapsed will revert to the Company and again will become available for grant under the Plan.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Restricted Stock Units may be granted at any time and from time to time as determined by the Administrator. Each Restricted Stock Unit grant will be evidenced by an Award Agreement that will specify such other terms and conditions as the Administrator, in its sole discretion, will determine in accordance with the terms and conditions of the Plan, including all terms, conditions, and restrictions related to the grant, the number of Restricted Stock Units and the form of payout, which, subject to Section 9(d) hereof, may be left to the discretion of the Administrator.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The Administrator will set vesting criteria in its discretion, which, depending on the extent to which the criteria are met, will determine the number of Restricted Stock Units that will be paid out to the Participant. After the grant of Restricted Stock Units, the Administrator, in its sole discretion, may reduce or waive any restrictions for such Restricted Stock Units. Each Award of Restricted Stock Units will be evidenced by an Award Agreement that will specify the vesting criteria, and such other terms and conditions as the Administrator, in its sole discretion will determine.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Upon meeting the applicable vesting criteria, the Participant will be entitled to receive a payout as specified in the Award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Payment of earned Restricted Stock Units will be made as soon as practicable after the date(s) set forth in the Award Agreement, which shall satisfy the requirements of Section 409A of the Code, to the extent applicable to such Award. The Administrator, in its sole discretion, may pay earned Restricted Stock Units in cash, Shares, or a combination thereof. Shares represented by Restricted Stock Units that are fully paid in cash again will be available for grant under the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On the date set forth in the Award Agreement, all unearned Restricted Stock Units will be forfeited to the Company.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Performance Units and Performance Shares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Performance Units/Shares</w:t>
      </w:r>
      <w:r>
        <w:rPr>
          <w:rFonts w:ascii="Times New Roman;Times;Serif" w:hAnsi="Times New Roman;Times;Serif"/>
          <w:b w:val="false"/>
          <w:i w:val="false"/>
          <w:caps w:val="false"/>
          <w:smallCaps w:val="false"/>
          <w:sz w:val="20"/>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Value of Performance Units/Shares</w:t>
      </w:r>
      <w:r>
        <w:rPr>
          <w:rFonts w:ascii="Times New Roman;Times;Serif" w:hAnsi="Times New Roman;Times;Serif"/>
          <w:b w:val="false"/>
          <w:i w:val="false"/>
          <w:caps w:val="false"/>
          <w:smallCaps w:val="false"/>
          <w:sz w:val="20"/>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Performance Objectives and Other Terms</w:t>
      </w:r>
      <w:r>
        <w:rPr>
          <w:rFonts w:ascii="Times New Roman;Times;Serif" w:hAnsi="Times New Roman;Times;Serif"/>
          <w:b w:val="false"/>
          <w:i w:val="false"/>
          <w:caps w:val="false"/>
          <w:smallCaps w:val="false"/>
          <w:sz w:val="20"/>
        </w:rPr>
        <w:t>.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Earning of Performance Units/Shares</w:t>
      </w:r>
      <w:r>
        <w:rPr>
          <w:rFonts w:ascii="Times New Roman;Times;Serif" w:hAnsi="Times New Roman;Times;Serif"/>
          <w:b w:val="false"/>
          <w:i w:val="false"/>
          <w:caps w:val="false"/>
          <w:smallCaps w:val="false"/>
          <w:sz w:val="20"/>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Form and Timing of Payment of Performance Units/Shares</w:t>
      </w:r>
      <w:r>
        <w:rPr>
          <w:rFonts w:ascii="Times New Roman;Times;Serif" w:hAnsi="Times New Roman;Times;Serif"/>
          <w:b w:val="false"/>
          <w:i w:val="false"/>
          <w:caps w:val="false"/>
          <w:smallCaps w:val="false"/>
          <w:sz w:val="20"/>
        </w:rPr>
        <w:t>.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 of Performance Units/Shares</w:t>
      </w:r>
      <w:r>
        <w:rPr>
          <w:rFonts w:ascii="Times New Roman;Times;Serif" w:hAnsi="Times New Roman;Times;Serif"/>
          <w:b w:val="false"/>
          <w:i w:val="false"/>
          <w:caps w:val="false"/>
          <w:smallCaps w:val="false"/>
          <w:sz w:val="20"/>
        </w:rPr>
        <w:t>. On the date set forth in the Award Agreement, all unearned or unvested Performance Units/Shares will be forfeited to the Company, and again will be available for grant under the Plan.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Leaves of Absence</w:t>
      </w:r>
      <w:r>
        <w:rPr>
          <w:rFonts w:ascii="Times New Roman;Times;Serif" w:hAnsi="Times New Roman;Times;Serif"/>
          <w:b w:val="false"/>
          <w:i w:val="false"/>
          <w:caps w:val="false"/>
          <w:smallCaps w:val="false"/>
          <w:sz w:val="20"/>
        </w:rPr>
        <w:t>.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and one day following the commencement of such leave any Incentive Stock Option held by the Participant will cease to be treated as an Incentive Stock Option and will be treated for tax purposes as a Nonstatutory Stock Option.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(iii) to a revocable trust, or (iv) as permitted by Rule 701 of the Securities Act of 1933, as amended.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In the event of the proposed dissolution or liquidation of the Company, any corporate separation or division, including, but not 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In the event of a merger or Change in Control, each outstanding Award will be treated as the Administrator determines, including, without limitation, that each Award will be assumed or an equivalent option or right substituted by the successor corporation or a Parent or Subsidiary of the successor corporation (the “</w:t>
      </w:r>
      <w:r>
        <w:rPr>
          <w:rFonts w:ascii="Times New Roman;Times;Serif" w:hAnsi="Times New Roman;Times;Serif"/>
          <w:b w:val="false"/>
          <w:i w:val="false"/>
          <w:caps w:val="false"/>
          <w:smallCaps w:val="false"/>
          <w:sz w:val="20"/>
          <w:u w:val="single"/>
        </w:rPr>
        <w:t>Successor Corporation</w:t>
      </w:r>
      <w:r>
        <w:rPr>
          <w:rFonts w:ascii="Times New Roman;Times;Serif" w:hAnsi="Times New Roman;Times;Serif"/>
          <w:b w:val="false"/>
          <w:i w:val="false"/>
          <w:caps w:val="false"/>
          <w:smallCaps w:val="false"/>
          <w:sz w:val="20"/>
        </w:rPr>
        <w:t>”). The Administrator will not be required to treat all Awards similarly in the transaction.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Restricted Stock Units, Performance Shares and Performance Units, all Performance Goals or other vesting criteria will be deemed achieved at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settle in cash or a Performance Share or Performance Unit which the Administrator can determine to settle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 Corporation equal in fair market value to the per share consideration received by holders of Common Stock in the Change in Control.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Tax Withholding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At any time prior to or following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Subject to Section 21 hereof, the Plan will become effective upon its adoption by the Board (the “Effective Date”). It will continue in effect for a term of ten (10) years unless terminated earlier under Section 18 hereof; provided, however, that such expiration shall not affect Awards then outstanding, and the terms and conditions of this Plan shall continue to apply to such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The Administrator may at any time amend, alter, suspend or terminate the Plan.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Subject to Section 21, the Company will obtain stockholder approval of the Plan and any Plan amendment to the extent necessary or desirable to comply with Applicable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All Award Agreements and all securities of the Company issued pursuant thereto shall bear such legends regarding restrictions on transfer and such other legends as the appropriate officer of the Company shall determine to be necessary or advisable to comply with applicable securities and other laws.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including without limitation Section 422 of the Code. In the event that stockholder approval is not obtained within twelve (12) months after the date the Plan is adopted by the Board, all Incentive Stock Options granted hereunder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Notwithstanding any other provisions of the Plan, no Awards shall be exercisable until the date of such stockholder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Notification of Election Under Section 83 of the Code</w:t>
      </w:r>
      <w:r>
        <w:rPr>
          <w:rFonts w:ascii="Times New Roman;Times;Serif" w:hAnsi="Times New Roman;Times;Serif"/>
          <w:b w:val="false"/>
          <w:i w:val="false"/>
          <w:caps w:val="false"/>
          <w:smallCaps w:val="false"/>
          <w:sz w:val="20"/>
        </w:rPr>
        <w:t>. If any Service Provider shall, in connection with the acquisition of Shares under the Plan, make an election permitted under either Section 83(b) or Section 83(i) of the Code, such Service Provider shall notify the Company of such election within ten (10) days of filing notice of the election with the Internal Revenue Service and provide the Company with a copy thereof, in addition to any filing and a notification required pursuant to regulations issued under the authority of Sections 83(b) or 83(i) of the Code, as applicable. A Service Provider shall not be permitted to make a Section 83(b) election with respect to an Award of a Restricted Stock Unit.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Notification Upon Disqualifying Disposition Under Section 421(b) of the Code</w:t>
      </w:r>
      <w:r>
        <w:rPr>
          <w:rFonts w:ascii="Times New Roman;Times;Serif" w:hAnsi="Times New Roman;Times;Serif"/>
          <w:b w:val="false"/>
          <w:i w:val="false"/>
          <w:caps w:val="false"/>
          <w:smallCaps w:val="false"/>
          <w:sz w:val="20"/>
        </w:rPr>
        <w:t>. Each Service Provider shall notify the Company of any disposition of Shares issued pursuant to the exercise of an Incentive Stock Option under the circumstances described in Section 421(b) of the Code (relating to certain disqualifying dispositions), within ten (10) days of such disposition.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409A Timing Rule for Specified Employees</w:t>
      </w:r>
      <w:r>
        <w:rPr>
          <w:rFonts w:ascii="Times New Roman;Times;Serif" w:hAnsi="Times New Roman;Times;Serif"/>
          <w:b w:val="false"/>
          <w:i w:val="false"/>
          <w:caps w:val="false"/>
          <w:smallCaps w:val="false"/>
          <w:sz w:val="20"/>
        </w:rPr>
        <w:t>. If at the time of a Service Provider’s separation from service, such individual is considered a “specified employee” within the meaning of Section 409A(a)(2)(B)(i) of the Code, and if any payment that such Service Provider becomes entitled to under the Plan or any Award is deemed payable on account of such individual’s separation from service, then no such payment shall be made prior to the date that is the earlier of (i) six months and one day after the individual’s separation from service, or (ii) the individual’s death.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 of the State of Nevada shall govern all questions concerning the construction, validity and interpretation of this Plan, without regard to such state’s conflict of laws rules, subject to the Company’s intention that the Plan satisfy the requirements of jurisdictions outside of the United States of America with respect to Awards subject to such jurisdictions.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Except as specifically provided in this plan, a Participant or a transferee of an Award shall have no rights as a stockholder with respect to any shares covered by the Award until the date of the issuance of such shares to the Participant, and no adjustment shall be made for dividends (ordinary or extraordinary, whether in cash, securities or other property) or distributions of other rights for which the record date is prior to the date such Stock is issued.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Compensation Arrangements.</w:t>
      </w:r>
      <w:r>
        <w:rPr>
          <w:rFonts w:ascii="Times New Roman;Times;Serif" w:hAnsi="Times New Roman;Times;Serif"/>
          <w:b w:val="false"/>
          <w:i w:val="false"/>
          <w:caps w:val="false"/>
          <w:smallCaps w:val="false"/>
          <w:sz w:val="20"/>
        </w:rPr>
        <w:t xml:space="preserve"> Nothing contained in this Plan shall prevent the Board from adopting other or additional compensation arrangements, subject to stockholder approval is required; and such arrangements may be either generally applicable or applicable only in specific cases.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Disqualifying Dispositions.</w:t>
      </w:r>
      <w:r>
        <w:rPr>
          <w:rFonts w:ascii="Times New Roman;Times;Serif" w:hAnsi="Times New Roman;Times;Serif"/>
          <w:b w:val="false"/>
          <w:i w:val="false"/>
          <w:caps w:val="false"/>
          <w:smallCaps w:val="false"/>
          <w:sz w:val="20"/>
        </w:rPr>
        <w:t xml:space="preserve"> Any participant who shall make a “disposition” (as defined in Section 424 of the Code) of all or any portion of an Incentive Stock Option within two (2) years from the date of grant of such Incentive Stock Option or within (1) year after the issuance of the shares of Stock acquired upon exercise of such Incentive Stock Option shall be required to immediately advise the Company in writing as to the occurrence of the sale and the price realized upon the sale of such shares of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 xml:space="preserve"> Each Stock Option Agreement and Stock Purchase Agreement shall provide that no shares shall be purchased or sold thereunder unless and until (i) any then applicable requirements of state or federal laws and regulatory agencies shall have been fully compiled with to the satisfaction of the Company and its counsel and (ii) if required to do so by the Company, the Optionee or Offeree shall have executed and delivered to the Company a letter of investment intent in such form and containing such provisions as the Board or Committee may require.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Upon exercise of an Award granted under this Plan, the Company shall issue Stock or pay any amounts due within a reasonable period of time thereafter. Subject to any statutory obligations the Company may otherwise have, for purposes of this Plan, thirty days shall be considered a reasonable period of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The Stock Option Agreements and Stock Purchase Agreements authorized under the Plan may contain such other provisions not inconsistent with this Plan, including, without limitation, restrictions upon the exercise of the Rights, as the Administrator may deem advisable.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Awards under the Plan are intended either to be exempt from the rules of Section 409A of the Code or to satisfy those rules, and the Plan and such awards shall be construed accordingly. Granted rights may be modified at any time, in the Administrator’s direction, so as to increase the likelihood of exemption from or compliance with the rules of Section 409A of the Code.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11" w:name="ipower_ex107.htm"/>
      <w:bookmarkStart w:id="12" w:name="ksipower_ex107"/>
      <w:bookmarkEnd w:id="11"/>
      <w:bookmarkEnd w:id="1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22"/>
        <w:gridCol w:w="60"/>
        <w:gridCol w:w="1292"/>
        <w:gridCol w:w="60"/>
        <w:gridCol w:w="575"/>
        <w:gridCol w:w="60"/>
        <w:gridCol w:w="1105"/>
        <w:gridCol w:w="60"/>
        <w:gridCol w:w="1110"/>
        <w:gridCol w:w="60"/>
        <w:gridCol w:w="173"/>
        <w:gridCol w:w="845"/>
        <w:gridCol w:w="60"/>
        <w:gridCol w:w="142"/>
        <w:gridCol w:w="1423"/>
        <w:gridCol w:w="60"/>
        <w:gridCol w:w="1040"/>
        <w:gridCol w:w="60"/>
        <w:gridCol w:w="164"/>
        <w:gridCol w:w="1034"/>
      </w:tblGrid>
      <w:tr>
        <w:trPr/>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r>
      <w:tr>
        <w:trPr/>
        <w:tc>
          <w:tcPr>
            <w:tcW w:w="822"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92"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5"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1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r>
      <w:tr>
        <w:trPr/>
        <w:tc>
          <w:tcPr>
            <w:tcW w:w="822"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Common Stock, $0.001 par value per share, reserved for issuance pursuant to the Registrant's Second Amended and Restated 2020 Equity Incentive Plan</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45,000,000</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jc w:val="right"/>
              <w:rPr/>
            </w:pPr>
            <w:r>
              <w:rPr/>
              <w:t>1.1349</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283"/>
              <w:jc w:val="right"/>
              <w:rPr/>
            </w:pPr>
            <w:r>
              <w:rPr/>
              <w:t>51,070,500.00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7,052.84</w:t>
            </w:r>
          </w:p>
        </w:tc>
      </w:tr>
      <w:tr>
        <w:trPr/>
        <w:tc>
          <w:tcPr>
            <w:tcW w:w="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142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22"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423" w:type="dxa"/>
            <w:tcBorders/>
            <w:vAlign w:val="center"/>
          </w:tcPr>
          <w:p>
            <w:pPr>
              <w:pStyle w:val="TableContents"/>
              <w:bidi w:val="0"/>
              <w:spacing w:before="0" w:after="283"/>
              <w:jc w:val="right"/>
              <w:rPr/>
            </w:pPr>
            <w:r>
              <w:rPr/>
              <w:t>51,070,500.00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7,052.84</w:t>
            </w:r>
          </w:p>
        </w:tc>
      </w:tr>
      <w:tr>
        <w:trPr/>
        <w:tc>
          <w:tcPr>
            <w:tcW w:w="6222"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222"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double" w:sz="8" w:space="0" w:color="000000"/>
            </w:tcBorders>
            <w:tcMar>
              <w:bottom w:w="28" w:type="dxa"/>
            </w:tcMar>
            <w:vAlign w:val="center"/>
          </w:tcPr>
          <w:p>
            <w:pPr>
              <w:pStyle w:val="TableContents"/>
              <w:bidi w:val="0"/>
              <w:spacing w:before="0" w:after="283"/>
              <w:jc w:val="left"/>
              <w:rPr/>
            </w:pPr>
            <w:r>
              <w:rPr/>
              <w:t>$</w:t>
            </w:r>
          </w:p>
        </w:tc>
        <w:tc>
          <w:tcPr>
            <w:tcW w:w="1034" w:type="dxa"/>
            <w:tcBorders>
              <w:bottom w:val="double" w:sz="8" w:space="0" w:color="000000"/>
            </w:tcBorders>
            <w:tcMar>
              <w:bottom w:w="28" w:type="dxa"/>
            </w:tcMar>
            <w:vAlign w:val="center"/>
          </w:tcPr>
          <w:p>
            <w:pPr>
              <w:pStyle w:val="TableContents"/>
              <w:bidi w:val="0"/>
              <w:spacing w:before="0" w:after="283"/>
              <w:jc w:val="right"/>
              <w:rPr/>
            </w:pPr>
            <w:r>
              <w:rPr/>
              <w:t>7,052.84</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Pursuant to Rule 416(a) promulgated under the Securities Act of 1933, as amended (the “Securities Act”), this Registration Statement shall also cover any additional shares of common stock (“Common Stock”) of iPower Inc. (the “Registrant”) that become issuable under the Registrant’s Second Amended and Restated 2020 Equity Incentive Plan (the “Second Amended and Restated Plan”) by reason of any stock dividend, stock split, recapitalizations, or other similar transaction effected without receipt of consideration that results in an increase to the number of outstanding shares of the Registrant’s Common Stock, as applicable.</w:t>
              <w:br/>
              <w:br/>
              <w:t>Amount to be registered represents the 45,000,000 additional shares of Common Stock that were reserved for future issuance under the Second Amended and Restated Plan. On October 15, 2020, the Registrant’s board of directors (the “Board”) adopted, and its stockholders approved and ratified, the iPower Inc. 2020 Equity Incentive Plan (the “Initial Plan”). Further on May 5, 2021, the Board adopted, and its stockholders approved and ratified, an amendment to the Initial Plan (the “Amended Initial Plan”). On May 6, 2024, the Registrant’s Board and its majority stockholders approved an amendment and restatement of the Amended Initial Plan, increasing the shares authorized under the Amended Initial Plan from 5,000,000 shares to 10,000,000 shares (the “First Amended and Restated Plan”).</w:t>
              <w:br/>
              <w:br/>
              <w:t>On December 21, 2025, the Registrant’s Board and majority stockholders approved an amendment of the First Amended and Restated Plan for the sole purpose of effecting an increase in the number of shares of Common Stock available for issuance under the First Amended and Restated Plan by an additional 40,000,000 shares of Common Stock, thus increasing the total number of shares available for issuance to 49,747,078 shares of Common Stock. On November 16, 2021, the Company filed a registration statement on Form S-8 registering all 5,000,0000 shares then issuable under the Amended Initial Plan.</w:t>
              <w:br/>
              <w:br/>
              <w:t>Proposed maximum offering price per share estimated in accordance with Rules 457(c) and 457(h) of the Securities Act solely for the purpose of calculating the registration fee. The offering price per share and the aggregate offering price are based upon $1.1349, which is the average of the high and low selling prices per share of the Registrant’s Common Stock on April 15, 2026 as reported on the Nasdaq Capital Market.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80438/000119312526110693/antx-20251231.htm" TargetMode="External"/><Relationship Id="rId3" Type="http://schemas.openxmlformats.org/officeDocument/2006/relationships/hyperlink" Target="https://www.sec.gov/ix?doc=/Archives/edgar/data/0001830072/000168316825007480/ipower_i10k-063025.htm" TargetMode="External"/><Relationship Id="rId4" Type="http://schemas.openxmlformats.org/officeDocument/2006/relationships/hyperlink" Target="https://www.sec.gov/ix?doc=/Archives/edgar/data/0001830072/000168316825008394/ipower_i10q-093025.htm" TargetMode="External"/><Relationship Id="rId5" Type="http://schemas.openxmlformats.org/officeDocument/2006/relationships/hyperlink" Target="https://www.sec.gov/ix?doc=/Archives/edgar/data/0001830072/000168316826001222/ipower_i10q-123125.htm" TargetMode="External"/><Relationship Id="rId6" Type="http://schemas.openxmlformats.org/officeDocument/2006/relationships/hyperlink" Target="http://www.sec.gov/Archives/edgar/data/1830072/000168316825004824/ipower_8k.htm" TargetMode="External"/><Relationship Id="rId7" Type="http://schemas.openxmlformats.org/officeDocument/2006/relationships/hyperlink" Target="http://www.sec.gov/Archives/edgar/data/1830072/000168316825004913/ipower_8k.htm" TargetMode="External"/><Relationship Id="rId8" Type="http://schemas.openxmlformats.org/officeDocument/2006/relationships/hyperlink" Target="http://www.sec.gov/Archives/edgar/data/1830072/000168316825005474/ipower_8k.htm" TargetMode="External"/><Relationship Id="rId9" Type="http://schemas.openxmlformats.org/officeDocument/2006/relationships/hyperlink" Target="http://www.sec.gov/Archives/edgar/data/1830072/000168316825005914/ipower_8k.htm" TargetMode="External"/><Relationship Id="rId10" Type="http://schemas.openxmlformats.org/officeDocument/2006/relationships/hyperlink" Target="http://www.sec.gov/Archives/edgar/data/1830072/000168316825006295/ipower_8k.htm" TargetMode="External"/><Relationship Id="rId11" Type="http://schemas.openxmlformats.org/officeDocument/2006/relationships/hyperlink" Target="http://www.sec.gov/Archives/edgar/data/1830072/000168316825006762/ipower_8k.htm" TargetMode="External"/><Relationship Id="rId12" Type="http://schemas.openxmlformats.org/officeDocument/2006/relationships/hyperlink" Target="http://www.sec.gov/Archives/edgar/data/1830072/000168316825007187/ipower_8k.htm" TargetMode="External"/><Relationship Id="rId13" Type="http://schemas.openxmlformats.org/officeDocument/2006/relationships/hyperlink" Target="http://www.sec.gov/Archives/edgar/data/1830072/000168316825007681/ipower_8k.htm" TargetMode="External"/><Relationship Id="rId14" Type="http://schemas.openxmlformats.org/officeDocument/2006/relationships/hyperlink" Target="http://www.sec.gov/Archives/edgar/data/1830072/000168316825007707/ipower_8k.htm" TargetMode="External"/><Relationship Id="rId15" Type="http://schemas.openxmlformats.org/officeDocument/2006/relationships/hyperlink" Target="http://www.sec.gov/Archives/edgar/data/1830072/000168316825008216/ipower_8k.htm" TargetMode="External"/><Relationship Id="rId16" Type="http://schemas.openxmlformats.org/officeDocument/2006/relationships/hyperlink" Target="http://www.sec.gov/Archives/edgar/data/1830072/000168316825008743/ipower_8k.htm" TargetMode="External"/><Relationship Id="rId17" Type="http://schemas.openxmlformats.org/officeDocument/2006/relationships/hyperlink" Target="http://www.sec.gov/Archives/edgar/data/1830072/000168316825008998/ipower_8k.htm" TargetMode="External"/><Relationship Id="rId18" Type="http://schemas.openxmlformats.org/officeDocument/2006/relationships/hyperlink" Target="https://www.sec.gov/ix?doc=/Archives/edgar/data/0001830072/000168316825009319/ipower_8k.htm" TargetMode="External"/><Relationship Id="rId19" Type="http://schemas.openxmlformats.org/officeDocument/2006/relationships/hyperlink" Target="https://www.sec.gov/ix?doc=/Archives/edgar/data/0001830072/000168316825009331/ipower_8ka.htm" TargetMode="External"/><Relationship Id="rId20" Type="http://schemas.openxmlformats.org/officeDocument/2006/relationships/hyperlink" Target="https://www.sec.gov/ix?doc=/Archives/edgar/data/0001830072/000168316825009359/ipower_8k.htm" TargetMode="External"/><Relationship Id="rId21" Type="http://schemas.openxmlformats.org/officeDocument/2006/relationships/hyperlink" Target="https://www.sec.gov/ix?doc=/Archives/edgar/data/0001830072/000168316826000654/ipower_8k.htm" TargetMode="External"/><Relationship Id="rId22" Type="http://schemas.openxmlformats.org/officeDocument/2006/relationships/hyperlink" Target="https://www.sec.gov/ix?doc=/Archives/edgar/data/0001830072/000168316826000884/ipower_8k.htm" TargetMode="External"/><Relationship Id="rId23" Type="http://schemas.openxmlformats.org/officeDocument/2006/relationships/hyperlink" Target="https://www.sec.gov/ix?doc=/Archives/edgar/data/0001830072/000168316826002537/ipower_8k.htm" TargetMode="External"/><Relationship Id="rId24" Type="http://schemas.openxmlformats.org/officeDocument/2006/relationships/hyperlink" Target="https://www.sec.gov/Archives/edgar/data/1830072/000168316826003026/ipower_8k.htm" TargetMode="External"/><Relationship Id="rId25" Type="http://schemas.openxmlformats.org/officeDocument/2006/relationships/hyperlink" Target="http://www.sec.gov/Archives/edgar/data/1830072/000168316821001779/ipower_8a.htm" TargetMode="External"/><Relationship Id="rId26" Type="http://schemas.openxmlformats.org/officeDocument/2006/relationships/hyperlink" Target="http://www.sec.gov/Archives/edgar/data/1830072/000168316821000335/ipower_ex0401.htm" TargetMode="External"/><Relationship Id="rId27" Type="http://schemas.openxmlformats.org/officeDocument/2006/relationships/hyperlink" Target="https://www.sec.gov/Archives/edgar/data/1830072/000168316824004323/ipower_ex0401.htm" TargetMode="External"/><Relationship Id="rId28" Type="http://schemas.openxmlformats.org/officeDocument/2006/relationships/hyperlink" Target="https://www.sec.gov/Archives/edgar/data/1830072/000168316825009331/ipower_ex0401.htm" TargetMode="External"/><Relationship Id="rId29" Type="http://schemas.openxmlformats.org/officeDocument/2006/relationships/hyperlink" Target="https://www.sec.gov/Archives/edgar/data/1830072/000168316825009331/ipower_ex0402.htm" TargetMode="External"/><Relationship Id="rId30" Type="http://schemas.openxmlformats.org/officeDocument/2006/relationships/hyperlink" Target="https://www.sec.gov/Archives/edgar/data/1830072/000168316826000884/ipower_ex1001.htm" TargetMode="External"/><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11138</Words>
  <Characters>57624</Characters>
  <CharactersWithSpaces>68983</CharactersWithSpaces>
  <Paragraphs>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