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hyperlink w:anchor="toc">
        <w:bookmarkStart w:id="0" w:name="ipower_s3.htm"/>
        <w:bookmarkStart w:id="1" w:name="ksipower_s3"/>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FORM S-3</w:t>
      </w:r>
      <w:r>
        <w:rPr>
          <w:rFonts w:ascii="Times New Roman;Times;Serif" w:hAnsi="Times New Roman;Times;Serif"/>
          <w:b/>
          <w:i w:val="false"/>
          <w:caps w:val="false"/>
          <w:smallCaps w:val="false"/>
          <w:sz w:val="20"/>
        </w:rPr>
        <w:b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4880"/>
        <w:gridCol w:w="3275"/>
      </w:tblGrid>
      <w:tr>
        <w:trPr/>
        <w:tc>
          <w:tcPr>
            <w:tcW w:w="4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82-5144171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 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1301 Avenue of the Americas, Floor 13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415-9279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(“Securities Act”),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75"/>
        <w:gridCol w:w="2180"/>
        <w:gridCol w:w="230"/>
        <w:gridCol w:w="2615"/>
        <w:gridCol w:w="245"/>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xml:space="preserve">Large accelerated filer </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 xml:space="preserve">Accelerated filer </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xml:space="preserve">Non-accelerated filer </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S-3 is being filed by iPower Inc. (the “Company”) pursuant to Rule 415(a)(6) under the Securities Act of 1933, as amended (the “Securities Act”) to replace the Company’s Registration Statement on Form S-3 (File No. 333-274665), originally filed with the Securities and Exchange Commission (the “SEC”) on September 25, 2023, as amended on September 28, 2023 and declared effective on September 29, 2023 (the “Prior Registration Statement”), which is due to expire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415(a)(5)(ii) under the Securities Act, by filing this registration statement, the Company may issue and sell securities covered by the Prior Registration Statement until the earlier of the effective date of this registration statement or 180 days after September 29, 2026. Pursuant to Rule 415(a)(6) under the Securities Act, the securities registered pursuant to this registration statement include an aggregate of $43,184,022.40 of unsold securities (the “Unsold Securities”) previously registered under the Prior Registration Statement, and the filing fee of $4,758.88 associated therewith (which amount is based on the filing fee rate in effect at the time of filing of the Prior Registration Statement) is hereby carried forward to be applied to the Unsold Securities. Accordingly, no additional filing fee is due with respect to such Unsold Securities in connection with the filing of this Registration Statement. Pursuant to Rule 415(a)(6), the offering of the Unsold Securities under the Prior Registration Statement will be deemed terminated as of the date of effectiveness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572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iPower Inc. (“we,” “us,” or the “Company”), in one or more offerings, any combination of common stock, par value $0.001 per share, preferred stock, par value $0.001 per share, warrants, debt securities, rights to purchase common stock or other securities or units having a maximum aggregate offering price of $50,000,000. When we decide to sell a particular class or series of securities, we will provide the specific terms of the offered securities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supplements may also add, update or change information contained in or incorporated by reference into this prospectus. However, no prospectus supplement shall offer a security that is not registered and described in this prospectus at the time of its effectiveness. You should read this prospectus and any prospectus supplement, as well as the documents incorporated by reference or deemed to be incorporated by reference into this prospectus, carefully before you invest. This prospectus may not be used to offer or sell our securities unless accompanied by a prospectus supplement relating to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or through a combination of these methods. See “</w:t>
      </w:r>
      <w:hyperlink w:anchor="s_012">
        <w:r>
          <w:rPr>
            <w:rStyle w:val="InternetLink"/>
            <w:rFonts w:ascii="Times New Roman;Times;Serif" w:hAnsi="Times New Roman;Times;Serif"/>
            <w:b w:val="false"/>
            <w:i/>
            <w:caps w:val="false"/>
            <w:smallCaps w:val="false"/>
            <w:sz w:val="20"/>
          </w:rPr>
          <w:t>Plan of Distribution</w:t>
        </w:r>
      </w:hyperlink>
      <w:r>
        <w:rPr>
          <w:rFonts w:ascii="Times New Roman;Times;Serif" w:hAnsi="Times New Roman;Times;Serif"/>
          <w:b w:val="false"/>
          <w:i w:val="false"/>
          <w:caps w:val="false"/>
          <w:smallCaps w:val="false"/>
          <w:sz w:val="20"/>
        </w:rPr>
        <w:t>”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“IPW.” On October 7, 2026, the last reported sale price for our common stock was $1.04 per share. Each prospectus supplement will contain information, where applicable, as to our listing on the Nasdaq Capital Market or on any other securities exchange of the securities covered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 million. As of October 8, 2026, the aggregate market value of our outstanding common stock held by non-affiliates, or public float, was approximately $10,543,299, based on 2,767,270 shares of our outstanding common stock that were held by non-affiliates on such date and a price of $3.81 per share, which was the price at which our common stock was last sold on The Nasdaq Capital Market on August 11, 2026 (a date within 60 days of the date hereof), calculated in accordance with General Instruction I.B.6 of Form S-3. During the 12 calendar months prior to and including the date of this prospectus, we have sold an aggregate of approximately $1,815,976 of our securities pursuant to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An investment in our securities involves a high degree of risk. Please carefully read the information under the headings “</w:t>
      </w:r>
      <w:hyperlink w:anchor="s_003">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7 of this prospectus, the applicable prospectus supplement and “Item 1A - Risk Factors” of our most recent Annual Report on Form 10-K and in any Quarterly Report on Form 10-Q that is incorporated by reference in this prospectus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October 9, 2026</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65"/>
        <w:gridCol w:w="60"/>
        <w:gridCol w:w="680"/>
      </w:tblGrid>
      <w:tr>
        <w:trPr/>
        <w:tc>
          <w:tcPr>
            <w:tcW w:w="94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u w:val="single"/>
              </w:rPr>
            </w:pPr>
            <w:r>
              <w:rPr>
                <w:u w:val="single"/>
              </w:rPr>
              <w:t>PAGE</w:t>
            </w:r>
          </w:p>
        </w:tc>
      </w:tr>
      <w:tr>
        <w:trPr/>
        <w:tc>
          <w:tcPr>
            <w:tcW w:w="9465" w:type="dxa"/>
            <w:tcBorders/>
            <w:shd w:fill="CCEEFF" w:val="clear"/>
            <w:vAlign w:val="center"/>
          </w:tcPr>
          <w:p>
            <w:pPr>
              <w:pStyle w:val="TableContents"/>
              <w:bidi w:val="0"/>
              <w:spacing w:before="0" w:after="283"/>
              <w:jc w:val="left"/>
              <w:rPr/>
            </w:pPr>
            <w:hyperlink w:anchor="s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xml:space="preserve">1 </w:t>
            </w:r>
          </w:p>
        </w:tc>
      </w:tr>
      <w:tr>
        <w:trPr/>
        <w:tc>
          <w:tcPr>
            <w:tcW w:w="9465" w:type="dxa"/>
            <w:tcBorders/>
            <w:shd w:fill="FFFFFF" w:val="clear"/>
            <w:vAlign w:val="center"/>
          </w:tcPr>
          <w:p>
            <w:pPr>
              <w:pStyle w:val="TableContents"/>
              <w:bidi w:val="0"/>
              <w:spacing w:before="0" w:after="283"/>
              <w:jc w:val="left"/>
              <w:rPr/>
            </w:pPr>
            <w:hyperlink w:anchor="s_002">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w:t>
            </w:r>
          </w:p>
        </w:tc>
      </w:tr>
      <w:tr>
        <w:trPr/>
        <w:tc>
          <w:tcPr>
            <w:tcW w:w="9465" w:type="dxa"/>
            <w:tcBorders/>
            <w:shd w:fill="CCEEFF" w:val="clear"/>
            <w:vAlign w:val="center"/>
          </w:tcPr>
          <w:p>
            <w:pPr>
              <w:pStyle w:val="TableContents"/>
              <w:bidi w:val="0"/>
              <w:spacing w:before="0" w:after="283"/>
              <w:jc w:val="left"/>
              <w:rPr/>
            </w:pPr>
            <w:hyperlink w:anchor="s_003">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r>
      <w:tr>
        <w:trPr/>
        <w:tc>
          <w:tcPr>
            <w:tcW w:w="9465" w:type="dxa"/>
            <w:tcBorders/>
            <w:shd w:fill="FFFFFF" w:val="clear"/>
            <w:vAlign w:val="center"/>
          </w:tcPr>
          <w:p>
            <w:pPr>
              <w:pStyle w:val="TableContents"/>
              <w:bidi w:val="0"/>
              <w:spacing w:before="0" w:after="283"/>
              <w:jc w:val="left"/>
              <w:rPr/>
            </w:pPr>
            <w:hyperlink w:anchor="s_004">
              <w:r>
                <w:rPr>
                  <w:rStyle w:val="InternetLink"/>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w:t>
            </w:r>
          </w:p>
        </w:tc>
      </w:tr>
      <w:tr>
        <w:trPr/>
        <w:tc>
          <w:tcPr>
            <w:tcW w:w="9465" w:type="dxa"/>
            <w:tcBorders/>
            <w:shd w:fill="CCEEFF" w:val="clear"/>
            <w:vAlign w:val="center"/>
          </w:tcPr>
          <w:p>
            <w:pPr>
              <w:pStyle w:val="TableContents"/>
              <w:bidi w:val="0"/>
              <w:spacing w:before="0" w:after="283"/>
              <w:jc w:val="left"/>
              <w:rPr/>
            </w:pPr>
            <w:hyperlink w:anchor="s_005">
              <w:r>
                <w:rPr>
                  <w:rStyle w:val="InternetLink"/>
                </w:rPr>
                <w:t>DIVIDEND POLICY</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r>
      <w:tr>
        <w:trPr/>
        <w:tc>
          <w:tcPr>
            <w:tcW w:w="9465" w:type="dxa"/>
            <w:tcBorders/>
            <w:shd w:fill="FFFFFF" w:val="clear"/>
            <w:vAlign w:val="center"/>
          </w:tcPr>
          <w:p>
            <w:pPr>
              <w:pStyle w:val="TableContents"/>
              <w:bidi w:val="0"/>
              <w:spacing w:before="0" w:after="283"/>
              <w:jc w:val="left"/>
              <w:rPr/>
            </w:pPr>
            <w:hyperlink w:anchor="s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w:t>
            </w:r>
          </w:p>
        </w:tc>
      </w:tr>
      <w:tr>
        <w:trPr/>
        <w:tc>
          <w:tcPr>
            <w:tcW w:w="9465" w:type="dxa"/>
            <w:tcBorders/>
            <w:shd w:fill="CCEEFF" w:val="clear"/>
            <w:vAlign w:val="center"/>
          </w:tcPr>
          <w:p>
            <w:pPr>
              <w:pStyle w:val="TableContents"/>
              <w:bidi w:val="0"/>
              <w:spacing w:before="0" w:after="283"/>
              <w:jc w:val="left"/>
              <w:rPr/>
            </w:pPr>
            <w:hyperlink w:anchor="s_007">
              <w:r>
                <w:rPr>
                  <w:rStyle w:val="InternetLink"/>
                </w:rPr>
                <w:t>DESCRIPTION OF CAPITAL STOCK</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xml:space="preserve">12 </w:t>
            </w:r>
          </w:p>
        </w:tc>
      </w:tr>
      <w:tr>
        <w:trPr/>
        <w:tc>
          <w:tcPr>
            <w:tcW w:w="9465" w:type="dxa"/>
            <w:tcBorders/>
            <w:shd w:fill="FFFFFF" w:val="clear"/>
            <w:vAlign w:val="center"/>
          </w:tcPr>
          <w:p>
            <w:pPr>
              <w:pStyle w:val="TableContents"/>
              <w:bidi w:val="0"/>
              <w:spacing w:before="0" w:after="283"/>
              <w:jc w:val="left"/>
              <w:rPr/>
            </w:pPr>
            <w:hyperlink w:anchor="s_008">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xml:space="preserve">16 </w:t>
            </w:r>
          </w:p>
        </w:tc>
      </w:tr>
      <w:tr>
        <w:trPr/>
        <w:tc>
          <w:tcPr>
            <w:tcW w:w="9465" w:type="dxa"/>
            <w:tcBorders/>
            <w:shd w:fill="CCEEFF" w:val="clear"/>
            <w:vAlign w:val="center"/>
          </w:tcPr>
          <w:p>
            <w:pPr>
              <w:pStyle w:val="TableContents"/>
              <w:bidi w:val="0"/>
              <w:spacing w:before="0" w:after="283"/>
              <w:jc w:val="left"/>
              <w:rPr/>
            </w:pPr>
            <w:hyperlink w:anchor="s_009">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xml:space="preserve">17 </w:t>
            </w:r>
          </w:p>
        </w:tc>
      </w:tr>
      <w:tr>
        <w:trPr/>
        <w:tc>
          <w:tcPr>
            <w:tcW w:w="9465" w:type="dxa"/>
            <w:tcBorders/>
            <w:shd w:fill="FFFFFF" w:val="clear"/>
            <w:vAlign w:val="center"/>
          </w:tcPr>
          <w:p>
            <w:pPr>
              <w:pStyle w:val="TableContents"/>
              <w:bidi w:val="0"/>
              <w:spacing w:before="0" w:after="283"/>
              <w:jc w:val="left"/>
              <w:rPr/>
            </w:pPr>
            <w:hyperlink w:anchor="s_010">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w:t>
            </w:r>
          </w:p>
        </w:tc>
      </w:tr>
      <w:tr>
        <w:trPr/>
        <w:tc>
          <w:tcPr>
            <w:tcW w:w="9465" w:type="dxa"/>
            <w:tcBorders/>
            <w:shd w:fill="CCEEFF" w:val="clear"/>
            <w:vAlign w:val="center"/>
          </w:tcPr>
          <w:p>
            <w:pPr>
              <w:pStyle w:val="TableContents"/>
              <w:bidi w:val="0"/>
              <w:spacing w:before="0" w:after="283"/>
              <w:jc w:val="left"/>
              <w:rPr/>
            </w:pPr>
            <w:hyperlink w:anchor="s_011">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xml:space="preserve">26 </w:t>
            </w:r>
          </w:p>
        </w:tc>
      </w:tr>
      <w:tr>
        <w:trPr/>
        <w:tc>
          <w:tcPr>
            <w:tcW w:w="9465" w:type="dxa"/>
            <w:tcBorders/>
            <w:shd w:fill="FFFFFF" w:val="clear"/>
            <w:vAlign w:val="center"/>
          </w:tcPr>
          <w:p>
            <w:pPr>
              <w:pStyle w:val="TableContents"/>
              <w:bidi w:val="0"/>
              <w:spacing w:before="0" w:after="283"/>
              <w:jc w:val="left"/>
              <w:rPr/>
            </w:pPr>
            <w:hyperlink w:anchor="s_012">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xml:space="preserve">27 </w:t>
            </w:r>
          </w:p>
        </w:tc>
      </w:tr>
      <w:tr>
        <w:trPr/>
        <w:tc>
          <w:tcPr>
            <w:tcW w:w="9465" w:type="dxa"/>
            <w:tcBorders/>
            <w:shd w:fill="CCEEFF" w:val="clear"/>
            <w:vAlign w:val="center"/>
          </w:tcPr>
          <w:p>
            <w:pPr>
              <w:pStyle w:val="TableContents"/>
              <w:bidi w:val="0"/>
              <w:spacing w:before="0" w:after="283"/>
              <w:jc w:val="left"/>
              <w:rPr/>
            </w:pPr>
            <w:hyperlink w:anchor="s_013">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w:t>
            </w:r>
          </w:p>
        </w:tc>
      </w:tr>
      <w:tr>
        <w:trPr/>
        <w:tc>
          <w:tcPr>
            <w:tcW w:w="9465" w:type="dxa"/>
            <w:tcBorders/>
            <w:shd w:fill="FFFFFF" w:val="clear"/>
            <w:vAlign w:val="center"/>
          </w:tcPr>
          <w:p>
            <w:pPr>
              <w:pStyle w:val="TableContents"/>
              <w:bidi w:val="0"/>
              <w:spacing w:before="0" w:after="283"/>
              <w:jc w:val="left"/>
              <w:rPr/>
            </w:pPr>
            <w:hyperlink w:anchor="s_014">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w:t>
            </w:r>
          </w:p>
        </w:tc>
      </w:tr>
      <w:tr>
        <w:trPr/>
        <w:tc>
          <w:tcPr>
            <w:tcW w:w="9465" w:type="dxa"/>
            <w:tcBorders/>
            <w:shd w:fill="CCEEFF" w:val="clear"/>
            <w:vAlign w:val="center"/>
          </w:tcPr>
          <w:p>
            <w:pPr>
              <w:pStyle w:val="TableContents"/>
              <w:bidi w:val="0"/>
              <w:spacing w:before="0" w:after="283"/>
              <w:jc w:val="left"/>
              <w:rPr/>
            </w:pPr>
            <w:hyperlink w:anchor="s_015">
              <w:r>
                <w:rPr>
                  <w:rStyle w:val="InternetLink"/>
                </w:rPr>
                <w:t>LIMITATION ON LIABILITY AND DISCLOSURE OF COMMISSION POSITION ON 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w:t>
            </w:r>
          </w:p>
        </w:tc>
      </w:tr>
      <w:tr>
        <w:trPr/>
        <w:tc>
          <w:tcPr>
            <w:tcW w:w="9465" w:type="dxa"/>
            <w:tcBorders/>
            <w:shd w:fill="FFFFFF" w:val="clear"/>
            <w:vAlign w:val="center"/>
          </w:tcPr>
          <w:p>
            <w:pPr>
              <w:pStyle w:val="TableContents"/>
              <w:bidi w:val="0"/>
              <w:spacing w:before="0" w:after="283"/>
              <w:jc w:val="left"/>
              <w:rPr/>
            </w:pPr>
            <w:hyperlink w:anchor="s_016">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w:t>
            </w:r>
          </w:p>
        </w:tc>
      </w:tr>
      <w:tr>
        <w:trPr/>
        <w:tc>
          <w:tcPr>
            <w:tcW w:w="9465" w:type="dxa"/>
            <w:tcBorders/>
            <w:shd w:fill="CCEEFF" w:val="clear"/>
            <w:vAlign w:val="center"/>
          </w:tcPr>
          <w:p>
            <w:pPr>
              <w:pStyle w:val="TableContents"/>
              <w:bidi w:val="0"/>
              <w:spacing w:before="0" w:after="283"/>
              <w:jc w:val="left"/>
              <w:rPr/>
            </w:pPr>
            <w:hyperlink w:anchor="s_017">
              <w:r>
                <w:rPr>
                  <w:rStyle w:val="InternetLink"/>
                </w:rPr>
                <w:t>INFORMATION INCORPORATED BY REFERENCE</w:t>
              </w:r>
            </w:hyperlink>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1"/>
      <w:bookmarkEnd w:id="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 using a “shelf” registration process. Under this shelf registration process, we may offer from time to time securities having a maximum aggregate offering price of $50,000,000. Each time we offer any type or series of securities under this prospectus, we will prepare and file with the Securities and Exchange Commission (“SEC”) a prospectus supplement that contains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the documents incorporated herein by reference. You should read carefully both this prospectus, any prospectus supplement and any related free writing prospectuses we have authorized for use in connection with a specific offering, together with additional information described below under the caption “</w:t>
      </w:r>
      <w:hyperlink w:anchor="s_016">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val="false"/>
          <w:caps w:val="false"/>
          <w:smallCaps w:val="false"/>
          <w:sz w:val="20"/>
        </w:rPr>
        <w:t>,”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does not contain all the information provided in the Registration Statement we filed with the SEC. For further information about us or our securities offered hereby, you should refer to that Registration Statement, which you can obtain from the SEC as described below under “</w:t>
      </w:r>
      <w:hyperlink w:anchor="s_016">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any information other than that contained or incorporated by reference in this prospectus or in any applicable prospectus supplement or any applicable free writing prospectus that we have authorized. We take no responsibility for and can provide no assurance as to the reliability of, any other information that others may give you. The securities offered hereby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may sell securities through underwriters or dealers, through agents, directly to purchasers or through any combination of these methods. We and our agents reserve the sole right to accept or reject in whole or in part any proposed purchase of securities. The prospectus supplement, which we will prepare and file with the SEC each time we offer securities, will set forth the names of any underwriters, agents or others involved in the sale of securities, and any applicable fee, commission or discount arrangements with them. See “</w:t>
      </w:r>
      <w:hyperlink w:anchor="s_012">
        <w:r>
          <w:rPr>
            <w:rStyle w:val="InternetLink"/>
            <w:rFonts w:ascii="Times New Roman;Times;Serif" w:hAnsi="Times New Roman;Times;Serif"/>
            <w:b w:val="false"/>
            <w:i/>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references in this prospectus to, “iPower,” “the Company,” “we,” “our,” or “us” mean iPower Inc.,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2"/>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summary highlights certain information about our company and other information contained elsewhere in this prospectus or in documents incorporated by reference. This summary does not contain all of the information that you should consider before making an investment decision. You should carefully read the entire prospectus, any prospectus supplement, including the matters set forth under the section of this prospectus entitled “Risk Factors” and the financial statements and related notes and other information that we incorporate by reference herein, including our Annual Report on Form 10-K and our Quarterly Reports on Form 10-Q,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(as hereinafter defined)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October 9, 2026, but may retain, reduce or sell that position in the future in accordance with our policy and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8, 2026, we held the digital assets and controlled-account cash amounts set forth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14"/>
        <w:gridCol w:w="60"/>
        <w:gridCol w:w="126"/>
        <w:gridCol w:w="854"/>
        <w:gridCol w:w="60"/>
        <w:gridCol w:w="60"/>
        <w:gridCol w:w="125"/>
        <w:gridCol w:w="1440"/>
        <w:gridCol w:w="60"/>
        <w:gridCol w:w="60"/>
        <w:gridCol w:w="125"/>
        <w:gridCol w:w="845"/>
        <w:gridCol w:w="60"/>
        <w:gridCol w:w="60"/>
        <w:gridCol w:w="125"/>
        <w:gridCol w:w="1100"/>
        <w:gridCol w:w="125"/>
        <w:gridCol w:w="60"/>
        <w:gridCol w:w="2146"/>
      </w:tblGrid>
      <w:tr>
        <w:trPr/>
        <w:tc>
          <w:tcPr>
            <w:tcW w:w="2714" w:type="dxa"/>
            <w:tcBorders>
              <w:bottom w:val="single" w:sz="8" w:space="0" w:color="000000"/>
            </w:tcBorders>
            <w:vAlign w:val="center"/>
          </w:tcPr>
          <w:p>
            <w:pPr>
              <w:pStyle w:val="TableContents"/>
              <w:bidi w:val="0"/>
              <w:spacing w:before="0" w:after="283"/>
              <w:jc w:val="center"/>
              <w:rPr>
                <w:b/>
                <w:sz w:val="20"/>
              </w:rPr>
            </w:pPr>
            <w:r>
              <w:rPr>
                <w:b/>
                <w:sz w:val="20"/>
              </w:rPr>
              <w:t>Asset</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2"/>
            <w:tcBorders>
              <w:bottom w:val="single" w:sz="8" w:space="0" w:color="000000"/>
            </w:tcBorders>
            <w:vAlign w:val="center"/>
          </w:tcPr>
          <w:p>
            <w:pPr>
              <w:pStyle w:val="TableContents"/>
              <w:bidi w:val="0"/>
              <w:spacing w:before="0" w:after="283"/>
              <w:jc w:val="center"/>
              <w:rPr>
                <w:b/>
                <w:sz w:val="20"/>
              </w:rPr>
            </w:pPr>
            <w:r>
              <w:rPr>
                <w:b/>
                <w:sz w:val="20"/>
              </w:rPr>
              <w:t>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6" w:type="dxa"/>
            <w:tcBorders>
              <w:bottom w:val="single" w:sz="8" w:space="0" w:color="000000"/>
            </w:tcBorders>
            <w:vAlign w:val="center"/>
          </w:tcPr>
          <w:p>
            <w:pPr>
              <w:pStyle w:val="TableContents"/>
              <w:bidi w:val="0"/>
              <w:spacing w:before="0" w:after="283"/>
              <w:jc w:val="center"/>
              <w:rPr>
                <w:b/>
                <w:sz w:val="20"/>
              </w:rPr>
            </w:pPr>
            <w:r>
              <w:rPr>
                <w:b/>
                <w:sz w:val="20"/>
              </w:rPr>
              <w:t>Status</w:t>
            </w:r>
          </w:p>
        </w:tc>
      </w:tr>
      <w:tr>
        <w:trPr/>
        <w:tc>
          <w:tcPr>
            <w:tcW w:w="2714" w:type="dxa"/>
            <w:tcBorders/>
            <w:shd w:fill="CCEEFF" w:val="clear"/>
            <w:tcMar>
              <w:bottom w:w="0" w:type="dxa"/>
            </w:tcMar>
            <w:vAlign w:val="center"/>
          </w:tcPr>
          <w:p>
            <w:pPr>
              <w:pStyle w:val="TableContents"/>
              <w:bidi w:val="0"/>
              <w:spacing w:before="0" w:after="283"/>
              <w:jc w:val="left"/>
              <w:rPr>
                <w:b/>
                <w:sz w:val="20"/>
              </w:rPr>
            </w:pPr>
            <w:r>
              <w:rPr>
                <w:b/>
                <w:sz w:val="20"/>
              </w:rPr>
              <w:t>U.S.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440" w:type="dxa"/>
            <w:tcBorders/>
            <w:shd w:fill="CCEEFF" w:val="clear"/>
            <w:tcMar>
              <w:bottom w:w="0" w:type="dxa"/>
            </w:tcMar>
            <w:vAlign w:val="center"/>
          </w:tcPr>
          <w:p>
            <w:pPr>
              <w:pStyle w:val="TableContents"/>
              <w:bidi w:val="0"/>
              <w:spacing w:before="0" w:after="283"/>
              <w:jc w:val="right"/>
              <w:rPr>
                <w:sz w:val="20"/>
              </w:rPr>
            </w:pPr>
            <w:r>
              <w:rPr>
                <w:sz w:val="20"/>
              </w:rPr>
              <w:t>4,817,911.37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4,817,911.37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6" w:type="dxa"/>
            <w:tcBorders/>
            <w:shd w:fill="CCEEFF" w:val="clear"/>
            <w:tcMar>
              <w:bottom w:w="0" w:type="dxa"/>
            </w:tcMar>
            <w:vAlign w:val="center"/>
          </w:tcPr>
          <w:p>
            <w:pPr>
              <w:pStyle w:val="TableContents"/>
              <w:bidi w:val="0"/>
              <w:spacing w:before="0" w:after="283"/>
              <w:jc w:val="left"/>
              <w:rPr>
                <w:sz w:val="20"/>
              </w:rPr>
            </w:pPr>
            <w:r>
              <w:rPr>
                <w:sz w:val="20"/>
              </w:rPr>
              <w:t>Held in controlled account</w:t>
            </w:r>
          </w:p>
        </w:tc>
      </w:tr>
      <w:tr>
        <w:trPr/>
        <w:tc>
          <w:tcPr>
            <w:tcW w:w="2714" w:type="dxa"/>
            <w:tcBorders/>
            <w:shd w:fill="FFFFFF" w:val="clear"/>
            <w:tcMar>
              <w:bottom w:w="0" w:type="dxa"/>
            </w:tcMar>
            <w:vAlign w:val="center"/>
          </w:tcPr>
          <w:p>
            <w:pPr>
              <w:pStyle w:val="TableContents"/>
              <w:bidi w:val="0"/>
              <w:spacing w:before="0" w:after="283"/>
              <w:jc w:val="left"/>
              <w:rPr>
                <w:b/>
                <w:sz w:val="20"/>
              </w:rPr>
            </w:pPr>
            <w:r>
              <w:rPr>
                <w:b/>
                <w:sz w:val="20"/>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sz w:val="20"/>
              </w:rPr>
            </w:pPr>
            <w:r>
              <w:rPr>
                <w:sz w:val="20"/>
              </w:rPr>
              <w:t>$</w:t>
            </w:r>
          </w:p>
        </w:tc>
        <w:tc>
          <w:tcPr>
            <w:tcW w:w="854" w:type="dxa"/>
            <w:tcBorders/>
            <w:shd w:fill="FFFFFF" w:val="clear"/>
            <w:tcMar>
              <w:bottom w:w="0" w:type="dxa"/>
            </w:tcMar>
            <w:vAlign w:val="center"/>
          </w:tcPr>
          <w:p>
            <w:pPr>
              <w:pStyle w:val="TableContents"/>
              <w:bidi w:val="0"/>
              <w:spacing w:before="0" w:after="283"/>
              <w:jc w:val="right"/>
              <w:rPr>
                <w:sz w:val="20"/>
              </w:rPr>
            </w:pPr>
            <w:r>
              <w:rPr>
                <w:sz w:val="20"/>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81,813.47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1,236,630.22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6" w:type="dxa"/>
            <w:tcBorders/>
            <w:shd w:fill="FFFFFF" w:val="clear"/>
            <w:tcMar>
              <w:bottom w:w="0" w:type="dxa"/>
            </w:tcMar>
            <w:vAlign w:val="center"/>
          </w:tcPr>
          <w:p>
            <w:pPr>
              <w:pStyle w:val="TableContents"/>
              <w:bidi w:val="0"/>
              <w:spacing w:before="0" w:after="283"/>
              <w:jc w:val="left"/>
              <w:rPr>
                <w:sz w:val="20"/>
              </w:rPr>
            </w:pPr>
            <w:r>
              <w:rPr>
                <w:sz w:val="20"/>
              </w:rPr>
              <w:t>Held</w:t>
            </w:r>
          </w:p>
        </w:tc>
      </w:tr>
      <w:tr>
        <w:trPr/>
        <w:tc>
          <w:tcPr>
            <w:tcW w:w="2714" w:type="dxa"/>
            <w:tcBorders/>
            <w:shd w:fill="CCEEFF" w:val="clear"/>
            <w:tcMar>
              <w:bottom w:w="0" w:type="dxa"/>
            </w:tcMar>
            <w:vAlign w:val="center"/>
          </w:tcPr>
          <w:p>
            <w:pPr>
              <w:pStyle w:val="TableContents"/>
              <w:bidi w:val="0"/>
              <w:spacing w:before="0" w:after="283"/>
              <w:jc w:val="left"/>
              <w:rPr>
                <w:b/>
                <w:sz w:val="20"/>
              </w:rPr>
            </w:pPr>
            <w:r>
              <w:rPr>
                <w:b/>
                <w:sz w:val="20"/>
              </w:rPr>
              <w:t>Total- assets held in controlled account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6,054,541.50</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6" w:type="dxa"/>
            <w:tcBorders/>
            <w:shd w:fill="CCEEFF" w:val="clear"/>
            <w:tcMar>
              <w:bottom w:w="0" w:type="dxa"/>
            </w:tcMar>
            <w:vAlign w:val="center"/>
          </w:tcPr>
          <w:p>
            <w:pPr>
              <w:pStyle w:val="TableContents"/>
              <w:bidi w:val="0"/>
              <w:spacing w:before="0" w:after="283"/>
              <w:jc w:val="left"/>
              <w:rPr>
                <w:sz w:val="20"/>
              </w:rPr>
            </w:pPr>
            <w:r>
              <w:rPr>
                <w:sz w:val="20"/>
              </w:rPr>
              <w:t>Includes cash and digital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October 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(the “Purchase Agreement”) with a certain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and September 2026, the Company has sold a total of $15,184,024 in Series A convertible notes, with an additional $15,000,000 in Additional Series A Notes remaining available for issuance under the Convertible Note Facility. Digital Offering LLC has acted as placement agent and receives a 6% cash commission for each closing consummated under the Convertible Note Facility. As of October 7, 2026, the Investor has converted a total of $9,359,580 of the Series A Notes, resulting in the conversion of a total of 849,697 shares at an average conversion per share conversion price of $4.62 on a post-reverse stock split basis (accounting for a 1-for-8 reverse stock split effectuated May 22, 2026 and a 1-for-9 reverse stock split effectuated August 7,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prospectus has been adjusted to reflect the Reverse Splits. The Reverse Splits had no effect on the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We May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sell any combination of:</w:t>
      </w:r>
    </w:p>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25"/>
        <w:gridCol w:w="54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common stock;</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54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preferred stock;</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54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warrants;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54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debt securities, in one or more series;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54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right to purchase common stock or other securities; and/or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54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495" w:type="dxa"/>
            <w:tcBorders/>
            <w:vAlign w:val="center"/>
          </w:tcPr>
          <w:p>
            <w:pPr>
              <w:pStyle w:val="TableContents"/>
              <w:bidi w:val="0"/>
              <w:spacing w:before="0" w:after="283"/>
              <w:jc w:val="both"/>
              <w:rPr/>
            </w:pPr>
            <w:r>
              <w:rPr/>
              <w:t>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one or more offerings up to a total dollar amount of $50,000,000. This prospectus provides you with a general description of the securities we may offer. Each time we sell securities, we will provide a prospectus supplement that will contain specific information about the terms of that specific offering and include a discussion of any risk factors or other special considerations that apply to those securities. The prospectus supplement may also add, update or change information contained in this prospectus. You should read both this prospectus and any prospectus supplement together with the additional information described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“IPW.” The applicable prospectus supplement will contain information, where applicable, as to other listings, if any, on the Nasdaq Capital Market or other securities exchange of the securities covered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Nevada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3"/>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The prospectus supplement applicable to a particular offering of securities will contain a discussion of the risks applicable to an investment in iPower and to the particular types of securities that we are offering under that prospectus supplement. Before making an investment decision, you should carefully consider the risks described under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4"/>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strategies and plans regarding the acquisition and use of cryptocurrency as reserve assets;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financial and business performance, including our financial projections and business metrics;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macroeconomic conditions, including labor disputes, depreciation of the U.S. dollar, volatility in the capital markets, U.S.-China relations, inflationary impacts and disruptions to the global supply chain;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imposition of duties and tariffs and other trade barriers and retaliatory countermeasures implemented by the U.S. and other governments;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our strategy, future operations, financial position, estimated revenues and losses, forecasts, projected costs, prospects and plans;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increase in supply chain costs, including raw materials, sourcing, and transportation;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inability to anticipate the future market demands and future needs of our customers;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impact of component shortages, suppliers’ lack of production capacity, natural disasters or pandemics on our sourcing operations and supply chain;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ability to meet the prospective delivery time for our products and fulfill customer orders;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future capital requirements and sources and uses of cash;</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ability to cover our future capital expenditures and to pay down our near-term debt obligations;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ability to obtain funding and raise capital for our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ability to access the capital markets and credit markets;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anticipated financial performance, including gross margin, and the expectation that our future results of operations will fluctuate on a quarterly basis for the foreseeable future;</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expected capital expenditures, cost of revenue and other future expenses, and the sources of funds to satisfy the liquidity needs of the Company;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ability to maintain the listing of our common stock on the Nasdaq;</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technology, cybersecurity, and data privacy risks;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intense market competition;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geopolitical conditions, including political instability in the U.S. and China, unrest and sanctions, war, conflict, including the ongoing conflicts between Russia and Ukraine, conflicts in the Middle East, and increasing tensions between China and Taiwan;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legislative and regulatory risks, including those relating to the recent enactment of the One Big Beautiful Bill Act;</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uncertainties and risks relating to new trade regulations, including tariffs and export control regulations;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market price and value of digital assets are highly volatile, which may materially and adversely affect the value of our digital asset holdings and our financial condition;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regulatory environment governing digital assets is evolving, uncertain, and subject to change, which could adversely affect our business, financial condition, and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 xml:space="preserve">reputational risks; and </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ind w:left="0" w:right="0" w:hanging="360"/>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other risks and uncertainties described in the registration statement of which this prospectus forms a part, including those under the section entitled “Risk Factors” and those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any prospectus supplement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5"/>
      <w:bookmarkEnd w:id="7"/>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dividends on our common stock and we do not anticipate paying any cash dividends on our common stock in the foreseeable future. Payment of cash dividends, if any, in the future will be at the discretion of our board of directors and will depend on applicable law and then-existing conditions, including our financial condition, operating results, business prospects, capital requirements, contractual restrictions, and other factors our board of directors may deem relevant. We currently intend to retain all available funds and any future earnings to fund the development and growth of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6"/>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applicable prospectus supplement, we intend to use the net proceeds from the sale of the securities covered by this prospectus for general corporate purposes, which may include, but is not limited to, working capital, capital expenditures, research and development expenditures and acquisitions of new technologies or businesses. The precise amount, use and timing of the application of such proceeds will depend upon our funding requirements and the availability and cost of other capital. Additional information on the use of net proceeds from an offering of securities covered by this prospectus may be set forth in the prospectus supplement relating to the specific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7"/>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sections constitute a summary as of the date of this prospectus and do not purport to be a complete description of our capital stock. We will describe in the applicable prospectus supplement relating to a particular offering the specific terms of the securities offered by that prospectus supplement. We will indicate in the applicable prospectus supplement if the terms of the securities differ from the terms we have summarized below. We will also include in the prospectus supplement information, where applicable, material United States federal income tax considerations relating to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common stock of the Company (the “common stock”) and preferred stock of the Company (the “preferred stock”), together with the additional information we include in any applicable prospectus supplement, summarizes the material terms and provisions of the common stock and preferred stock that we may offer under this prospectus but is not complete. For the complete terms of our common stock and preferred stock, please refer to our articles of incorporation, as may be amended from time to time (the “Articles of Incorporation”), any certificates of designation for our preferred stock, that may be authorized from time to time, and our amended and restated bylaws, as amended from time to time (the “Bylaws”). The Nevada General Corporation Law may also affect the terms of these securities. While the terms we have summarized below will apply generally to any future common stock or preferred stock that we may offer, we will describe the specific terms of any series of these securities in more detail in the applicable prospectus supplement. If we so indicate in a prospectus supplement, the terms of any common stock or preferred stock we offer under that prospectus supplement may differ from the terms we describe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9, 2026, our authorized capital stock consists of 980,000,000 shares of common stock, par value $0.001 per share, of which 2,773,422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by holders of shares of any class or series of preferred stock to the extent such approval is required by its terms, the board of directors is expressly authorized, subject to limitations prescribed by law, by resolution or resolutions and by filing a certificate pursuant to the applicable law of the State of Nevada, to provide, out of the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“IPW.” The Transfer Agent and Registrar for shares of our common stock and preferred stock is VStock Transfer, LLC, Woodmere, New York. Our Transfer Agent and Registrar’s telephone number is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Options/Warrants/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7, 2026, subject to vesting conditions, we had outstanding options to purchase 1,944 shares of our common stock at a weighted average exercise price of $2,611.11. We also had outstanding warrants to purchase 965 shares of our common stock at an average exercise price of $5,184.00 per share and a total of 1,127 vested but unissued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existing warrants is not intended to be complete and is qualified by reference to our Articles of Incorporation, as amended, and Bylaws and the warrant-related documents described herein which are exhibits to the registration statement of which this prospectus is a part. We urge you to read each of the Articles of Incorporation, as amended, and Bylaws and the warrant-related documents described herein in their entirety for a complete description of the rights and preferences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Direct Offering and Concurrent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the Company closed on a registered direct offering of 2,083,334 shares of common stock (965 shares on a post-reverse split basis) and a concurrent private placement of warrants (the “2024 Warrants”) to purchase 2,083,334 shares of common stock (965 shares on a post-reverse split basis), which were sold for gross aggregate proceeds of $5,000,002.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not have the right to exercise any portion of the 2024 Warrants if the holder (together with its affiliates) would beneficially own in excess of 4.99% (or, at the election of the holder, 9.99%), respectively, of the number of shares of common stock outstanding immediately after giving effect to the exercise, as such percentage ownership is determined in accordance with the terms of the 2024 Warrants. However, upon notice from the holder to the Company as described in the Purchase Agreement, the holder may increase the beneficial ownership limitation, which may not exceed 9.99% of the number of shares of common stock outstanding immediately after giving effect to the exercise of 2024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existing convertible notes is not intended to be complete and is qualified by reference to our Articles of Incorporation, as amended, and Bylaws and the convertible notes related documents described herein which are exhibits to the registration statement of which this prospectus is a part. We urge you to read each of the Articles of Incorporation, as amended, and Bylaws and the convertible notes related documents described herein in their entirety for a complete description of the rights and preferences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and September 15, 2026, the Company and Investor consummated Additional Optional Closings. At the Additional Optional Closings, the Company received $4,700,000, excluding fees and expenses, in exchange for issuing a total of $5,000,000 aggregate principal amount of Series A Notes to the Investor after satisfaction of all applicable closing conditions, including the effectiveness of the resale registration statement and the absence of any Event of Default. The Series A Notes issued at the Additional Optional Closings were issued pursuant to an exemption from registration in accordance with Regulation D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in addition to the Series B convertible note sold in December 2025, the Company has sold a total of $15,184,024 in Series A convertible notes, with an additional $15,000,000 in Additional Series A Notes remaining available for issuance under the Convertible Note Facility. Digital Offering LLC has acted as placement agent and receives a 6% cash commission for each closing consummated under the Convertible Note Facility. As of October 9, 2026, the Investor has converted a total of $10,897,268 of the Series A Notes, resulting in the conversion of a total of 2,360,275 shares at an average conversion price per share of $ 11.02  on a post-reverse stock split basis (accounting for a 1-for-8 reverse stock split effectuated May 22, 2026 and a 1-for-9 reverse stock split effectuated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and Series B Senior 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issued the two series of convertible notes in this offering: (i) Series A Convertible Notes issued in a private placement pursuant to Section 4(a)(2) of the Securities Act, and Regulation D promulgated thereunder and (ii) Series B Convertible Notes issued in a registered direct offering pursuant to the Company’s effective shelf registration statement on Form S-3 and a related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Series B Convertible Notes are issued pursuant to substantially identical forms, with certain provisions applicable only to one series or the other. Specifically, the Series B Convertible Notes, and the Series B Conversion Shares were registered at issuance under the prospectus supplement and the Series B Conversion Shares will be freely transferable by the holders, while the Series A Convertible Notes were issued in a private placement and accordingly the Series A Conversion Shares are subject to transfer restrictions under applicable securities laws. The Company entered into a Registration Rights Agreement (as defined below) with the Investor, pursuant to which the Company is obligated to file a registration statement registering the Series A Conversion Shares and maintain its effectiveness in accordance with the terms of such agreement. Certain provisions in the form of Convertible Notes, such as events of default relating to registration statement effectiveness and obligations to deliver unlegended shares, apply only to the Series A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references to the “Convertible Notes” in this prospectus to both the Series A Convertible Notes and the Series B Convertible Notes, and the description of the terms of the Convertible Notes set forth below applies equally to both series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interest at a rate of 10% per annum (increasing to 17% per annum upon the occurrence and during the continuance of an Event of Default), with interest payable monthly on the first Trading Day of each calendar month commencing on the applicable date specified in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Common Stock at a fixed Conversion Price specified in the applicable notes, each subject to adjustment as provided in the Convertible Notes. The fixed conversion price and floor price vary among the outstanding tranches. The holder may elect to convert at an Alternate Conversion Price, which provides for conversion at a discounted price based on recent trading VWAP. The Alternate Optional Conversion Price is equal to the lower of (i) the Conversion Price or (ii) the greater of (x) the Floor Price (as defined below)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applicable Floor Price is specified in the relevant Convertible Note and varies among the outstanding tranches, subject to adjustment and reset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secured by Collateral (as defined in the Security and Pledge Agreement),consisting of all of the cryptocurrency and cryptocurrency related assets of the Company and certain of its subsidiaries pursuant to the Security Agreement (as defined below). The Convertible Notes are guaranteed by the subsidiaries of the Company pursuant to the Guaranty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customary affirmative and negative covenants, including restrictions on incurrence of indebtedness, creation of liens, payment of dividends, redemption of equity, transfer of assets, and transactions with affiliates, as well as maintenance of minimum liquidity requirements. The Convertible Notes also contain customary events of default, including payment defaults, covenant breaches, cross-defaults, bankruptcy events, and material adverse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8"/>
      <w:bookmarkEnd w:id="10"/>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For the avoidance of doubt, this section relates only to new warrants that we may issue and not any of our outstanding warrants, and we refer to such new warrants in this prospectus for the sake of simplicity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preferred stock or debt securities, in one or more series. We may issue warrants independently or together with common stock, preferred stock and/or debt securities, and the warrants may be attached to or separate from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evidence each series of warrants by warrant certificates that we will issue under a separate warrant agreement. We will enter into the warrant agreement with a warrant agent and we will indicate the name and address of the warrant agent in the applicable prospectus supplement relating to a particular series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currency for which the warrants may be purchased;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number of shares of common stock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effect of any merger, consolidation, sale or other disposition of our business on the warrant agreement and the warrants;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periods during which, and places at which, the warrants are exercisable;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manner of exercise;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dates on which the right to exercise the warrants will commence and expire;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manner in which the warrant agreement and warrants may be modified;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applicable, a discussion of certain material U.S. federal income tax considerations of holding or exercising the warrants; and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09"/>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senior notes under a senior indenture, which we will enter into with the trustee to be named in the senior indenture. We will issue subordinated notes under a subordinated indenture, which we will enter into with the trustee to be named in the subordinated indenture. We use the term “indentures” to refer to both the senior indenture and the subordinated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as amended (the “Trust Indenture Act”). We use the term “debenture trustee” to refer to either the senior trustee or the subordinated trustee,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title;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principal amount being offered, and, if a series, the total amount authorized and the total amount outstanding;</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limit on the amount that may be issued;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or not we will issue the series of debt securities in global form and, if so, the terms and who the depositary will be;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maturity date;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whether and under what circumstances, if any, we will pay additional amounts on any debt securities held by a person who is not a U.S. person for tax purposes, and whether we can redeem the debt securities if we have to pay such additional amounts;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or not the debt securities will be secured or unsecured, and the terms of any secured debt;</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terms of the subordination of any series of subordinated debt;</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place where payments will be payable;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restrictions on transfer, sale or other assignment, if any;</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the indenture will restrict our ability and/or the ability of our subsidiaries to, among other things: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incur additional indebtedness;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 xml:space="preserve">issue additional securities;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create liens;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pay dividends and make distributions in respect of our capital stock and the capital stock of our subsidiaries;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redeem capital stock;</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place restrictions on our subsidiaries’ ability to pay dividends, make distributions or transfer assets;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make investments or other restricted payments;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sell or otherwise dispose of assets;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enter into sale-leaseback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engage in transactions with stockholders and affiliates;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issue or sell stock of our subsidiaries;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effect a consolidation or merger;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the indenture will require us to maintain any interest coverage, fixed charge, cash flow-based, asset-based or other financial ratios;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 discussion of any material or special U.S. federal income tax considerations applicable to the debt securities;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information describing any book-entry features;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provisions for a sinking fund purchase or other analogous fund,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the debt securities are to be offered at a price such that they will be deemed to be offered at an “original issue discount” as defined in paragraph (a) of Section 1273 of the Internal Revenue Code;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procedures for any auction and remarketing,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if other than dollars, the currency in which the series of debt securities will be denominated;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we fail to pay interest when due and payable and our failure continues for 90 days and the time for payment has not been extended or deferred;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if we fail to pay the principal, sinking fund payment or premium, if any, when due and payable and the time for payment has not been extended or delayed;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 specified events of bankruptcy, insolvency or reorganization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holder has given written notice to the debenture trustee of a continuing event of default with respect to that series;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holders of at least 25%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fix any ambiguity, defect or inconsistency in the indenture;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comply with the provisions described above under “Consolidation, Merger or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comply with any requirements of the SEC in connection with the qualification of any indenture under the Trust Indenture Act;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evidence and provide for the acceptance of appointment hereunder by a successor trustee;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provide for uncertificated debt securities and to make all appropriate changes for such purpose;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add to, delete from, or revise the conditions, limitations and restrictions on the authorized amount, terms or purposes of issuance, authorization and delivery of debt securities or any series, as set forth in the indenture;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change anything that does not materially adversely affect the interests of any holder of debt securities of any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extending the fixed maturity of the series of debt securities;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reducing the principal amount, reducing the rate of or extending the time of payment of interest, or reducing any premium payable upon the redemption of any debt securities;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survive until the maturity date or the redemption date:</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25"/>
        <w:gridCol w:w="59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45" w:type="dxa"/>
            <w:tcBorders/>
            <w:vAlign w:val="center"/>
          </w:tcPr>
          <w:p>
            <w:pPr>
              <w:pStyle w:val="TableContents"/>
              <w:bidi w:val="0"/>
              <w:spacing w:before="0" w:after="283"/>
              <w:jc w:val="both"/>
              <w:rPr/>
            </w:pPr>
            <w:r>
              <w:rPr/>
              <w:t>register the transfer or exchange of debt securities of the series;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45" w:type="dxa"/>
            <w:tcBorders/>
            <w:vAlign w:val="center"/>
          </w:tcPr>
          <w:p>
            <w:pPr>
              <w:pStyle w:val="TableContents"/>
              <w:bidi w:val="0"/>
              <w:spacing w:before="0" w:after="283"/>
              <w:jc w:val="both"/>
              <w:rPr/>
            </w:pPr>
            <w:r>
              <w:rPr/>
              <w:t>replace stolen, lost or mutilated debt securities of the series;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45" w:type="dxa"/>
            <w:tcBorders/>
            <w:vAlign w:val="center"/>
          </w:tcPr>
          <w:p>
            <w:pPr>
              <w:pStyle w:val="TableContents"/>
              <w:bidi w:val="0"/>
              <w:spacing w:before="0" w:after="283"/>
              <w:jc w:val="both"/>
              <w:rPr/>
            </w:pPr>
            <w:r>
              <w:rPr/>
              <w:t>maintain paying agencies;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45" w:type="dxa"/>
            <w:tcBorders/>
            <w:vAlign w:val="center"/>
          </w:tcPr>
          <w:p>
            <w:pPr>
              <w:pStyle w:val="TableContents"/>
              <w:bidi w:val="0"/>
              <w:spacing w:before="0" w:after="283"/>
              <w:jc w:val="both"/>
              <w:rPr/>
            </w:pPr>
            <w:r>
              <w:rPr/>
              <w:t>hold monies for payment in trust;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45" w:type="dxa"/>
            <w:tcBorders/>
            <w:vAlign w:val="center"/>
          </w:tcPr>
          <w:p>
            <w:pPr>
              <w:pStyle w:val="TableContents"/>
              <w:bidi w:val="0"/>
              <w:spacing w:before="0" w:after="283"/>
              <w:jc w:val="both"/>
              <w:rPr/>
            </w:pPr>
            <w:r>
              <w:rPr/>
              <w:t>appoint any successor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following obligations survive the maturity date or the redemption date:</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25"/>
        <w:gridCol w:w="53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t>recover excess money held by the debenture trustee;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t>compensate and indemnify the debenture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may make interest payments by check that we will mail to the holder or by wire transfer to certain holders. Unless we otherwise indicate in a prospectus supplement, we will designate the corporate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0"/>
      <w:bookmarkEnd w:id="12"/>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complete terms of the rights will be contained in the rights agreements we enter into with rights agents. These documents will be included or incorporated by reference as exhibits to the registration statement of which this prospectus is a part. You should read the rights agreements and any related documents. You also should read the prospectus supplement, which will contain additional information and which may update or change some of the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to purchase common stock or other securities that we may offer to stockholders using this prospectus. Further terms of the rights will be stated in the applicable prospectus supplement (or applicable free writing prospectus). The following description and any description of the rights in a prospectus supplement (or applicable free writing prospectus) may not be complete and is subject to and qualified in its entirety by reference to the terms of any agreement relating to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Rights may be issued independently or together with any other security and may or may not be transferable. As part of any rights offering, we may enter into a standby underwriting or other arrangement under which the underwriters or any other person would purchase any securities that are not purchased in such rights offering. If we issue rights, each series of rights will be issued under a separate rights agreement to be entered into between us and a bank or trust company, as rights agent, that will be named in the applicable prospectus supplement. Further terms of the rights will be stated in the applicable prospectus supplement. The rights agent will act solely as our agent and will not assume any obligation to any holders of rights certificates or beneficial owners of rights. The rights agreements and rights certificates will be filed with the SEC as an exhibit to the registration statement of which this prospectus is a part or as an exhibit to a filing incorporated by reference in the registration statement. See “</w:t>
      </w:r>
      <w:hyperlink w:anchor="s_016">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val="false"/>
          <w:caps w:val="false"/>
          <w:smallCaps w:val="false"/>
          <w:sz w:val="20"/>
        </w:rPr>
        <w:t>” for information on how to obtain copies of the rights agreements and rights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we offer will describe the specific terms of the offering and the rights, including the record date for stockholders entitled to the rights distribution, the number of rights issued and the number of shares of common stock that may be purchased upon exercise of the rights, the exercise price of the rights, the date on which the rights will become effective and the date on which the rights will expire, and any applicable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right entitles the holder to purchase for cash a specific number of shares of common stock or other securities at a specified exercise price. The rights are normally issued to stockholders as of a specific record date, may be exercised only for a limited period of time and become void following the expiration of such period. If we determine to issue rights, we will accompany this prospectus with a prospectus supplement that may describe,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record date for stockholders entitled to receive the rights;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number of shares of common stock or other securities that may be purchased upon exercise of each right;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exercise price of the rights;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terms for changes to or adjustments in the exercise price,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whether the rights are transferable;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period during which the rights may be exercised and when they will expire;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steps required to exercise the rights;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the rights include “oversubscription rights” so that the holder may purchase more securities if other holders do not purchase their full allotments,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whether we intend to sell the shares of common stock or other securities that are not purchased in the rights offering to an underwriter or other purchaser under a contractual “standby” commitment or other arrangement,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withdrawal, termination and cancellation rights, if 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any material United States federal income tax consequences;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other material terms, including terms relating to transferability, exchange, exercise or amendment of the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011"/>
      <w:bookmarkEnd w:id="1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shares of common stock, shares of preferred stock, debt securities, rights and warrants to purchase common stock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provisions of the governing unit agreement;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price or prices at which such units will be issued;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applicable U.S. federal income tax considerations relating to the units;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other terms of the units and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will apply to the securities included in each unit, to the extent relevant and as may be updated in any prospectus supplements. 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Unit Agreements Will Not be Qualified Under Trust Indenture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012"/>
      <w:bookmarkEnd w:id="1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herein, from time to time in one or more offerings, by a variety of methods,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on any national securities exchange or quotation service on which our securities may be listed at the time of sale, including the Nasdaq Capital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in transactions otherwise than on such exchange or in the over-the-counter market, which may include privately negotiated transactions and sales directly to one or more purchasers;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through one or more agents, including an “at the market” offering within the meaning of Rule 415(a)(4) under the Securities Act;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through 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through 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to or through underwriters, broker-dealers, agents, in privately negotiated transactions, or any combination of these methods;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through short sales;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through the writing or settlement of options or other hedging transactions, whether through an options exchange or otherwise;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by pledge to secure debts or other obligations;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block trades in which the broker-dealer so engaged will attempt to sell the securities as agent but may position and resell a portion of the block as principal to facilitate the transaction, or crosses in which the same broker acts as agent on both sides of the trade;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 combination of any of these methods;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by 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to or through one or more underwriters or dealers (acting as principal or agent), through agents, or directly to one or more purchasers. We may distribute the securities from time to time in one or more transactions:</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25"/>
        <w:gridCol w:w="46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70" w:type="dxa"/>
            <w:tcBorders/>
            <w:vAlign w:val="center"/>
          </w:tcPr>
          <w:p>
            <w:pPr>
              <w:pStyle w:val="TableContents"/>
              <w:bidi w:val="0"/>
              <w:spacing w:before="0" w:after="283"/>
              <w:jc w:val="left"/>
              <w:rPr/>
            </w:pPr>
            <w:r>
              <w:rPr/>
              <w:t>at a fixed price or prices, which may be changed;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70" w:type="dxa"/>
            <w:tcBorders/>
            <w:vAlign w:val="center"/>
          </w:tcPr>
          <w:p>
            <w:pPr>
              <w:pStyle w:val="TableContents"/>
              <w:bidi w:val="0"/>
              <w:spacing w:before="0" w:after="283"/>
              <w:jc w:val="left"/>
              <w:rPr/>
            </w:pPr>
            <w:r>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125"/>
        <w:gridCol w:w="47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30" w:type="dxa"/>
            <w:tcBorders/>
            <w:vAlign w:val="center"/>
          </w:tcPr>
          <w:p>
            <w:pPr>
              <w:pStyle w:val="TableContents"/>
              <w:bidi w:val="0"/>
              <w:spacing w:before="0" w:after="283"/>
              <w:jc w:val="left"/>
              <w:rPr/>
            </w:pPr>
            <w:r>
              <w:rPr/>
              <w:t>at prices related to such prevailing market prices;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30" w:type="dxa"/>
            <w:tcBorders/>
            <w:vAlign w:val="center"/>
          </w:tcPr>
          <w:p>
            <w:pPr>
              <w:pStyle w:val="TableContents"/>
              <w:bidi w:val="0"/>
              <w:spacing w:before="0" w:after="283"/>
              <w:jc w:val="left"/>
              <w:rPr/>
            </w:pPr>
            <w:r>
              <w:rPr/>
              <w:t>at varying prices determined at the time of sale;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30" w:type="dxa"/>
            <w:tcBorders/>
            <w:vAlign w:val="center"/>
          </w:tcPr>
          <w:p>
            <w:pPr>
              <w:pStyle w:val="TableContents"/>
              <w:bidi w:val="0"/>
              <w:spacing w:before="0" w:after="283"/>
              <w:jc w:val="left"/>
              <w:rPr/>
            </w:pPr>
            <w:r>
              <w:rPr/>
              <w:t>at negotiated prices.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name or names of any underwriters, dealers, agents or other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purchase price of the securities or other consideration therefor, and the proceeds, if any, we will receive from the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options to purchase additional shares or other options under which underwriters, dealers, agents or other purchasers may purchase additional securities from us;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any agency fees or underwriting discounts and other items constituting agents’ or underwriters’ compensation;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any public offering price;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any discounts or concessions allowed or reallowed or paid to dealers;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any securities exchange or market on which the securities may be listed.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 Any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If required by applicable law,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stock, and may use securities received from us in settlement of those derivatives to close out any related open borrowings of our securities. In addition, we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covered by this prospectus that qualify for sale under Rule 144 of the Securities Act may be sold under Rule 144 rather than under this prospectus. To the extent that such members, partners or shareholders are not affiliates of ours, such members, partners or stockholders would thereby receive freely tradable shares of the securities pursuant to the distribution through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creates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that are qualified market makers on the Nasdaq may engage in passive market making transactions in our common stock on the Nasdaq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_013"/>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hereby will be passed upon for us by Dorsey &amp;Whitney LLP.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_014"/>
      <w:bookmarkEnd w:id="1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and for the years ended June 30, 2026 and 2025, have been audited by HTL International LLC, which is an independent registered public accounting firm, as stated in its report which is incorporated by reference herein. Such financial statements have been incorporated by reference in reliance on the report of such firm given upon its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_015"/>
      <w:bookmarkEnd w:id="17"/>
      <w:r>
        <w:rPr>
          <w:rFonts w:ascii="Times New Roman;Times;Serif" w:hAnsi="Times New Roman;Times;Serif"/>
          <w:b/>
          <w:i w:val="false"/>
          <w:caps w:val="false"/>
          <w:smallCaps w:val="false"/>
          <w:sz w:val="20"/>
        </w:rPr>
        <w:t>LIMITATION ON LIABILITY AND DISCLOSURE OF COMMISSION POSITION ON</w:t>
        <w:br/>
        <w:t>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_016"/>
      <w:bookmarkEnd w:id="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our SEC filings at our website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xml:space="preserve">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_017"/>
      <w:bookmarkEnd w:id="1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incorporate certain information by reference into this prospectus. By incorporating by reference, we can disclose important information to you by referring you to other documents we have filed or will file with the SEC. The information incorporated by reference is deemed to be part of this prospectus, except for information incorporated by reference that is superseded by information contained in this prospectus.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that we have previously filed with the SEC under the Exchange Act: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(a) The Registrant’s Annual Report on Form 10-K for the fiscal year ended </w:t>
      </w:r>
      <w:hyperlink r:id="rId3">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Commission on October 2, 2026.</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(b) The Registrant’s Current Reports on Form 8-K filed with the Commission on </w:t>
      </w:r>
      <w:hyperlink r:id="rId4">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July 15,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July 21,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September 15,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September 22,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(c) The description of our capital stock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001-40391) filed on May 5, 2021, and any amendments or reports filed for the purposes of updating this description;</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381250" cy="6572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costs and expenses in connection with the registration of our securities as described in this registration statement. All of the amounts shown are estimates except the SEC registration fee.</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155"/>
        <w:gridCol w:w="60"/>
        <w:gridCol w:w="208"/>
        <w:gridCol w:w="922"/>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4,350</w:t>
            </w:r>
            <w:r>
              <w:rPr>
                <w:position w:val="8"/>
                <w:sz w:val="19"/>
              </w:rPr>
              <w:t>(1)</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Printing and engraving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Transfer agent fees and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accordance with Rule 457(p) under the Securities Act, includes the registration fee previously paid in respect of the Unsold Securities previously registered under the Prior Registration Statement, as further described in the Calculation of Filing Fee Tables included as Exhibit 107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Fees and expenses (other than the SEC registration fee to be paid upon the filing of this registration statement) will depend on the number and nature of the offerings, and cannot be estimated at this time. An estimate of the aggregate expenses in connection with the issuance and distribution of securities being offered will be included in any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generally governed by the Nevada Private Corporations Code, Title 78 of the Nevada Revised Statutes, or NRS.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as a result of any act or failure to act unless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permits a Nevada corporation to indemnify its directors and officers against expenses, judgments, fines, and amounts paid in settlement actually and reasonably incurred in connection with a threatened, pending, or completed action, suit or proceeding, except an action by or on behalf of the corporation,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 Section 78.7502 also provides that a corporation may not indemnify a director or officer under this section with respect to an action by or on behalf of the corporation if such person has been adjudged to be liable to the corporation or for amounts paid to the corporation in settlement of such claim unless and only to the extent the court determines in view of all circumstances of the case, the person is fairly and reasonably entitled to indemnification. Indemnification under NRS 78.7502 generally may be made by the corporation only if determined to be proper under the circumstances. Such determination must be made by the stockholders, directors not a party to the action, or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requires a corporation to indemnify its officers and directors if they have been successful on the merits or otherwise in defense of any claim, issue, or matter resulting from their service as a director or officer. Section 78.751 of the NRS allows a corporation to advance expenses as incurred upon receipt of an undertaking by or on behalf of the officer or director to repay the amount if it is ultimately determined by a court of competent jurisdiction that such officer or director is not entitled to be indemnified by the corporation if so provided in the corporation’s articles of incorporation, bylaws or other agreement. Advancement of expenses as incurred may be required under corporation’s articles of incorporation or bylaws or by agreement. Section 78.751 of the NRS further permits the corporation to grant its directors and officers additional rights of indemnification under its articles of incorporation, bylaws or other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corporation may purchase and maintain insurance or make other financial arrangements on behalf of any person who is or was a director, officer, employee or agent of the corporation, or is or was serving at the request of the corporation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corporation has the authority to indemnify him against such liability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implement the indemnification and insurance provisions permitted by Chapter 78 of the NRS by providing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We shall indemnify our directors and officers to the fullest extent permitted by the NRS against expense, liability and loss reasonably incurred or suffered by them in connection with their service as an officer or director;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We may purchase and maintain insurance on behalf of any person who holds or who has held a position as director, officer, employee or agent against liability, expense, or loss incurred by such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present time, there is no pending litigation or proceeding involving a director, officer, employee or other agent of ours in which indemnification would be required or permitted. We are not aware of any threatened litigation or proceeding which may result in a claim for such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 of Document</w:t>
            </w:r>
          </w:p>
        </w:tc>
      </w:tr>
      <w:tr>
        <w:trPr/>
        <w:tc>
          <w:tcPr>
            <w:tcW w:w="890" w:type="dxa"/>
            <w:tcBorders/>
            <w:shd w:fill="CCEEFF" w:val="clear"/>
            <w:tcMar>
              <w:bottom w:w="0" w:type="dxa"/>
            </w:tcMar>
            <w:vAlign w:val="center"/>
          </w:tcPr>
          <w:p>
            <w:pPr>
              <w:pStyle w:val="TableContents"/>
              <w:bidi w:val="0"/>
              <w:spacing w:before="0" w:after="283"/>
              <w:jc w:val="both"/>
              <w:rPr/>
            </w:pPr>
            <w:r>
              <w:rPr/>
              <w:t>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890" w:type="dxa"/>
            <w:tcBorders/>
            <w:shd w:fill="FFFFFF" w:val="clear"/>
            <w:tcMar>
              <w:bottom w:w="0" w:type="dxa"/>
            </w:tcMar>
            <w:vAlign w:val="center"/>
          </w:tcPr>
          <w:p>
            <w:pPr>
              <w:pStyle w:val="TableContents"/>
              <w:bidi w:val="0"/>
              <w:spacing w:before="0" w:after="283"/>
              <w:jc w:val="both"/>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4">
              <w:r>
                <w:rPr>
                  <w:rStyle w:val="InternetLink"/>
                </w:rPr>
                <w:t>Sixth Amended and Restated Articles of Incorporation of iPower Inc.</w:t>
              </w:r>
            </w:hyperlink>
            <w:r>
              <w:rPr/>
              <w:t xml:space="preserve"> (incorporated by reference to Exhibit 3.3 to Amendment No. 3 to the Registration Statement on Form S-1 filed May 5, 2021).</w:t>
            </w:r>
          </w:p>
        </w:tc>
      </w:tr>
      <w:tr>
        <w:trPr/>
        <w:tc>
          <w:tcPr>
            <w:tcW w:w="890" w:type="dxa"/>
            <w:tcBorders/>
            <w:shd w:fill="CCEEFF" w:val="clear"/>
            <w:tcMar>
              <w:bottom w:w="0" w:type="dxa"/>
            </w:tcMar>
            <w:vAlign w:val="center"/>
          </w:tcPr>
          <w:p>
            <w:pPr>
              <w:pStyle w:val="TableContents"/>
              <w:bidi w:val="0"/>
              <w:spacing w:before="0" w:after="283"/>
              <w:jc w:val="both"/>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5">
              <w:r>
                <w:rPr>
                  <w:rStyle w:val="InternetLink"/>
                </w:rPr>
                <w:t>Amendment to Articles of Incorporation</w:t>
              </w:r>
            </w:hyperlink>
            <w:r>
              <w:rPr/>
              <w:t xml:space="preserve"> (incorporated by reference to Exhibit 3.1 to the Current Report on Form 8-K filed October 21, 2025).</w:t>
            </w:r>
          </w:p>
        </w:tc>
      </w:tr>
      <w:tr>
        <w:trPr/>
        <w:tc>
          <w:tcPr>
            <w:tcW w:w="890" w:type="dxa"/>
            <w:tcBorders/>
            <w:shd w:fill="FFFFFF" w:val="clear"/>
            <w:tcMar>
              <w:bottom w:w="0" w:type="dxa"/>
            </w:tcMar>
            <w:vAlign w:val="center"/>
          </w:tcPr>
          <w:p>
            <w:pPr>
              <w:pStyle w:val="TableContents"/>
              <w:bidi w:val="0"/>
              <w:spacing w:before="0" w:after="283"/>
              <w:jc w:val="both"/>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6">
              <w:r>
                <w:rPr>
                  <w:rStyle w:val="InternetLink"/>
                </w:rPr>
                <w:t>Third Amended and Restated Bylaws of iPower Inc.</w:t>
              </w:r>
            </w:hyperlink>
            <w:r>
              <w:rPr/>
              <w:t xml:space="preserve"> (incorporated by reference to Exhibit 3.1 to the Current Report on Form 8-K filed on June 11, 2025).</w:t>
            </w:r>
          </w:p>
        </w:tc>
      </w:tr>
      <w:tr>
        <w:trPr/>
        <w:tc>
          <w:tcPr>
            <w:tcW w:w="890" w:type="dxa"/>
            <w:tcBorders/>
            <w:shd w:fill="CCEEFF" w:val="clear"/>
            <w:tcMar>
              <w:bottom w:w="0" w:type="dxa"/>
            </w:tcMar>
            <w:vAlign w:val="center"/>
          </w:tcPr>
          <w:p>
            <w:pPr>
              <w:pStyle w:val="TableContents"/>
              <w:bidi w:val="0"/>
              <w:spacing w:before="0" w:after="283"/>
              <w:jc w:val="both"/>
              <w:rPr/>
            </w:pPr>
            <w:r>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7">
              <w:r>
                <w:rPr>
                  <w:rStyle w:val="InternetLink"/>
                </w:rPr>
                <w:t>Certificate of Amendment to the Sixth Amended and Restated Articles of Incorporation</w:t>
              </w:r>
            </w:hyperlink>
            <w:r>
              <w:rPr/>
              <w:t xml:space="preserve"> (incorporated by reference to Exhibit 3.1 to the Current Report on Form 8-K filed on May 22, 2026).</w:t>
            </w:r>
          </w:p>
        </w:tc>
      </w:tr>
      <w:tr>
        <w:trPr/>
        <w:tc>
          <w:tcPr>
            <w:tcW w:w="890" w:type="dxa"/>
            <w:tcBorders/>
            <w:shd w:fill="FFFFFF" w:val="clear"/>
            <w:tcMar>
              <w:bottom w:w="0" w:type="dxa"/>
            </w:tcMar>
            <w:vAlign w:val="center"/>
          </w:tcPr>
          <w:p>
            <w:pPr>
              <w:pStyle w:val="TableContents"/>
              <w:bidi w:val="0"/>
              <w:spacing w:before="0" w:after="283"/>
              <w:jc w:val="both"/>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8">
              <w:r>
                <w:rPr>
                  <w:rStyle w:val="InternetLink"/>
                </w:rPr>
                <w:t>Certificate of Amendment to the Sixth Amended and Restated Articles of Incorporatio</w:t>
              </w:r>
            </w:hyperlink>
            <w:r>
              <w:rPr/>
              <w:t>n (incorporated by reference to Exhibit 3.1 to the Current Report on Form 8-K filed on August 5, 2026).</w:t>
            </w:r>
          </w:p>
        </w:tc>
      </w:tr>
      <w:tr>
        <w:trPr/>
        <w:tc>
          <w:tcPr>
            <w:tcW w:w="890" w:type="dxa"/>
            <w:tcBorders/>
            <w:shd w:fill="CCEEFF" w:val="clear"/>
            <w:tcMar>
              <w:bottom w:w="0" w:type="dxa"/>
            </w:tcMar>
            <w:vAlign w:val="center"/>
          </w:tcPr>
          <w:p>
            <w:pPr>
              <w:pStyle w:val="TableContents"/>
              <w:bidi w:val="0"/>
              <w:spacing w:before="0" w:after="283"/>
              <w:jc w:val="both"/>
              <w:rPr/>
            </w:pPr>
            <w:r>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9">
              <w:r>
                <w:rPr>
                  <w:rStyle w:val="InternetLink"/>
                </w:rPr>
                <w:t>Second Amended and Restated Bylaws of iPower Inc.</w:t>
              </w:r>
            </w:hyperlink>
            <w:r>
              <w:rPr/>
              <w:t xml:space="preserve"> (incorporated by reference to Exhibit 3.3 to Amendment No. 2 the Registration Statement on Form S-1 filed April 27, 2021).</w:t>
            </w:r>
          </w:p>
        </w:tc>
      </w:tr>
      <w:tr>
        <w:trPr/>
        <w:tc>
          <w:tcPr>
            <w:tcW w:w="890" w:type="dxa"/>
            <w:tcBorders/>
            <w:shd w:fill="FFFFFF" w:val="clear"/>
            <w:tcMar>
              <w:bottom w:w="0" w:type="dxa"/>
            </w:tcMar>
            <w:vAlign w:val="center"/>
          </w:tcPr>
          <w:p>
            <w:pPr>
              <w:pStyle w:val="TableContents"/>
              <w:bidi w:val="0"/>
              <w:spacing w:before="0" w:after="283"/>
              <w:jc w:val="both"/>
              <w:rPr/>
            </w:pPr>
            <w:r>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20">
              <w:r>
                <w:rPr>
                  <w:rStyle w:val="InternetLink"/>
                </w:rPr>
                <w:t>Certificate of Designation of Series A Convertible Preferred Stock</w:t>
              </w:r>
            </w:hyperlink>
            <w:r>
              <w:rPr/>
              <w:t xml:space="preserve"> (incorporated by reference to Exhibit 4.1 to the Registration Statement on Form S-1 filed February 2, 2021).</w:t>
            </w:r>
          </w:p>
        </w:tc>
      </w:tr>
      <w:tr>
        <w:trPr/>
        <w:tc>
          <w:tcPr>
            <w:tcW w:w="890" w:type="dxa"/>
            <w:tcBorders/>
            <w:shd w:fill="CCEEFF" w:val="clear"/>
            <w:tcMar>
              <w:bottom w:w="0" w:type="dxa"/>
            </w:tcMar>
            <w:vAlign w:val="center"/>
          </w:tcPr>
          <w:p>
            <w:pPr>
              <w:pStyle w:val="TableContents"/>
              <w:bidi w:val="0"/>
              <w:spacing w:before="0" w:after="283"/>
              <w:jc w:val="both"/>
              <w:rPr/>
            </w:pPr>
            <w:r>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21">
              <w:r>
                <w:rPr>
                  <w:rStyle w:val="InternetLink"/>
                </w:rPr>
                <w:t>Form of Warrant</w:t>
              </w:r>
            </w:hyperlink>
            <w:r>
              <w:rPr/>
              <w:t xml:space="preserve"> (incorporated by reference to Exhibit 4.1 to the Current Report on Form 8-K filed June 18, 2024).</w:t>
            </w:r>
          </w:p>
        </w:tc>
      </w:tr>
      <w:tr>
        <w:trPr/>
        <w:tc>
          <w:tcPr>
            <w:tcW w:w="890" w:type="dxa"/>
            <w:tcBorders/>
            <w:shd w:fill="FFFFFF" w:val="clear"/>
            <w:tcMar>
              <w:bottom w:w="0" w:type="dxa"/>
            </w:tcMar>
            <w:vAlign w:val="center"/>
          </w:tcPr>
          <w:p>
            <w:pPr>
              <w:pStyle w:val="TableContents"/>
              <w:bidi w:val="0"/>
              <w:spacing w:before="0" w:after="283"/>
              <w:jc w:val="both"/>
              <w:rPr/>
            </w:pPr>
            <w:r>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22">
              <w:r>
                <w:rPr>
                  <w:rStyle w:val="InternetLink"/>
                </w:rPr>
                <w:t>Form of Series A Senior Secured Convertible Notes</w:t>
              </w:r>
            </w:hyperlink>
            <w:r>
              <w:rPr/>
              <w:t xml:space="preserve"> (incorporated by reference to Exhibit 4.1 to the Current Report on Form 8-K/A filed December 23, 2025).</w:t>
            </w:r>
          </w:p>
        </w:tc>
      </w:tr>
      <w:tr>
        <w:trPr/>
        <w:tc>
          <w:tcPr>
            <w:tcW w:w="890" w:type="dxa"/>
            <w:tcBorders/>
            <w:shd w:fill="CCEEFF" w:val="clear"/>
            <w:tcMar>
              <w:bottom w:w="0" w:type="dxa"/>
            </w:tcMar>
            <w:vAlign w:val="center"/>
          </w:tcPr>
          <w:p>
            <w:pPr>
              <w:pStyle w:val="TableContents"/>
              <w:bidi w:val="0"/>
              <w:spacing w:before="0" w:after="283"/>
              <w:jc w:val="both"/>
              <w:rPr/>
            </w:pPr>
            <w:r>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23">
              <w:r>
                <w:rPr>
                  <w:rStyle w:val="InternetLink"/>
                </w:rPr>
                <w:t>Form of Series B Senior Secured Convertible Notes</w:t>
              </w:r>
            </w:hyperlink>
            <w:r>
              <w:rPr/>
              <w:t xml:space="preserve"> (incorporated by reference to Exhibit 4.2 to the Current Report on Form 8-K/A filed December 23, 2025).</w:t>
            </w:r>
          </w:p>
        </w:tc>
      </w:tr>
      <w:tr>
        <w:trPr/>
        <w:tc>
          <w:tcPr>
            <w:tcW w:w="890" w:type="dxa"/>
            <w:tcBorders/>
            <w:shd w:fill="FFFFFF" w:val="clear"/>
            <w:tcMar>
              <w:bottom w:w="0" w:type="dxa"/>
            </w:tcMar>
            <w:vAlign w:val="center"/>
          </w:tcPr>
          <w:p>
            <w:pPr>
              <w:pStyle w:val="TableContents"/>
              <w:bidi w:val="0"/>
              <w:spacing w:before="0" w:after="283"/>
              <w:jc w:val="left"/>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Form of Specimen Certificate for Preferred Stock.</w:t>
            </w:r>
          </w:p>
        </w:tc>
      </w:tr>
      <w:tr>
        <w:trPr/>
        <w:tc>
          <w:tcPr>
            <w:tcW w:w="890"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r>
              <w:rPr/>
              <w:t>Certificate of Designation for Preferred Stock.</w:t>
            </w:r>
          </w:p>
        </w:tc>
      </w:tr>
      <w:tr>
        <w:trPr/>
        <w:tc>
          <w:tcPr>
            <w:tcW w:w="890" w:type="dxa"/>
            <w:tcBorders/>
            <w:shd w:fill="FFFFFF" w:val="clear"/>
            <w:tcMar>
              <w:bottom w:w="0" w:type="dxa"/>
            </w:tcMar>
            <w:vAlign w:val="center"/>
          </w:tcPr>
          <w:p>
            <w:pPr>
              <w:pStyle w:val="TableContents"/>
              <w:bidi w:val="0"/>
              <w:spacing w:before="0" w:after="283"/>
              <w:jc w:val="both"/>
              <w:rPr/>
            </w:pPr>
            <w:r>
              <w:rPr/>
              <w:t>4.7**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Form of Warrant Agreement.</w:t>
            </w:r>
          </w:p>
        </w:tc>
      </w:tr>
      <w:tr>
        <w:trPr/>
        <w:tc>
          <w:tcPr>
            <w:tcW w:w="890" w:type="dxa"/>
            <w:tcBorders/>
            <w:shd w:fill="CCEEFF" w:val="clear"/>
            <w:tcMar>
              <w:bottom w:w="0" w:type="dxa"/>
            </w:tcMar>
            <w:vAlign w:val="center"/>
          </w:tcPr>
          <w:p>
            <w:pPr>
              <w:pStyle w:val="TableContents"/>
              <w:bidi w:val="0"/>
              <w:spacing w:before="0" w:after="283"/>
              <w:jc w:val="both"/>
              <w:rPr/>
            </w:pPr>
            <w:r>
              <w:rPr/>
              <w:t>4.8**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r>
              <w:rPr/>
              <w:t>Form of Indenture for Senior Debt Securities.</w:t>
            </w:r>
          </w:p>
        </w:tc>
      </w:tr>
      <w:tr>
        <w:trPr/>
        <w:tc>
          <w:tcPr>
            <w:tcW w:w="890" w:type="dxa"/>
            <w:tcBorders/>
            <w:shd w:fill="FFFFFF" w:val="clear"/>
            <w:tcMar>
              <w:bottom w:w="0" w:type="dxa"/>
            </w:tcMar>
            <w:vAlign w:val="center"/>
          </w:tcPr>
          <w:p>
            <w:pPr>
              <w:pStyle w:val="TableContents"/>
              <w:bidi w:val="0"/>
              <w:spacing w:before="0" w:after="283"/>
              <w:jc w:val="both"/>
              <w:rPr/>
            </w:pPr>
            <w:r>
              <w:rPr/>
              <w:t>4.9**</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xml:space="preserve">Form of Indenture for Subordinated Debt Securities. </w:t>
            </w:r>
          </w:p>
        </w:tc>
      </w:tr>
      <w:tr>
        <w:trPr/>
        <w:tc>
          <w:tcPr>
            <w:tcW w:w="890" w:type="dxa"/>
            <w:tcBorders/>
            <w:shd w:fill="CCEEFF" w:val="clear"/>
            <w:tcMar>
              <w:bottom w:w="0" w:type="dxa"/>
            </w:tcMar>
            <w:vAlign w:val="center"/>
          </w:tcPr>
          <w:p>
            <w:pPr>
              <w:pStyle w:val="TableContents"/>
              <w:bidi w:val="0"/>
              <w:spacing w:before="0" w:after="283"/>
              <w:jc w:val="left"/>
              <w:rPr/>
            </w:pPr>
            <w:r>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r>
              <w:rPr/>
              <w:t>Form of Debt Securities.</w:t>
            </w:r>
          </w:p>
        </w:tc>
      </w:tr>
      <w:tr>
        <w:trPr/>
        <w:tc>
          <w:tcPr>
            <w:tcW w:w="890" w:type="dxa"/>
            <w:tcBorders/>
            <w:shd w:fill="FFFFFF" w:val="clear"/>
            <w:tcMar>
              <w:bottom w:w="0" w:type="dxa"/>
            </w:tcMar>
            <w:vAlign w:val="center"/>
          </w:tcPr>
          <w:p>
            <w:pPr>
              <w:pStyle w:val="TableContents"/>
              <w:bidi w:val="0"/>
              <w:spacing w:before="0" w:after="283"/>
              <w:jc w:val="left"/>
              <w:rPr/>
            </w:pPr>
            <w:r>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Form of Rights Agreement.</w:t>
            </w:r>
          </w:p>
        </w:tc>
      </w:tr>
      <w:tr>
        <w:trPr/>
        <w:tc>
          <w:tcPr>
            <w:tcW w:w="890" w:type="dxa"/>
            <w:tcBorders/>
            <w:shd w:fill="CCEEFF" w:val="clear"/>
            <w:tcMar>
              <w:bottom w:w="0" w:type="dxa"/>
            </w:tcMar>
            <w:vAlign w:val="center"/>
          </w:tcPr>
          <w:p>
            <w:pPr>
              <w:pStyle w:val="TableContents"/>
              <w:bidi w:val="0"/>
              <w:spacing w:before="0" w:after="283"/>
              <w:jc w:val="left"/>
              <w:rPr/>
            </w:pPr>
            <w:r>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r>
              <w:rPr/>
              <w:t>Form of Unit and Unit Certificate.</w:t>
            </w:r>
          </w:p>
        </w:tc>
      </w:tr>
      <w:tr>
        <w:trPr/>
        <w:tc>
          <w:tcPr>
            <w:tcW w:w="890" w:type="dxa"/>
            <w:tcBorders/>
            <w:shd w:fill="FFFFFF" w:val="clear"/>
            <w:tcMar>
              <w:bottom w:w="0" w:type="dxa"/>
            </w:tcMar>
            <w:vAlign w:val="center"/>
          </w:tcPr>
          <w:p>
            <w:pPr>
              <w:pStyle w:val="TableContents"/>
              <w:bidi w:val="0"/>
              <w:spacing w:before="0" w:after="283"/>
              <w:jc w:val="both"/>
              <w:rPr/>
            </w:pPr>
            <w:r>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ipower_ex0501.htm">
              <w:r>
                <w:rPr>
                  <w:rStyle w:val="InternetLink"/>
                </w:rPr>
                <w:t>Opinion of Dorsey &amp; Whitney LLP</w:t>
              </w:r>
            </w:hyperlink>
          </w:p>
        </w:tc>
      </w:tr>
      <w:tr>
        <w:trPr/>
        <w:tc>
          <w:tcPr>
            <w:tcW w:w="890"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r>
              <w:rPr/>
              <w:t>Consent of HTL International LLC, Independent Registered Public Accounting Firm</w:t>
            </w:r>
          </w:p>
        </w:tc>
      </w:tr>
      <w:tr>
        <w:trPr/>
        <w:tc>
          <w:tcPr>
            <w:tcW w:w="890" w:type="dxa"/>
            <w:tcBorders/>
            <w:shd w:fill="FFFFFF" w:val="clear"/>
            <w:tcMar>
              <w:bottom w:w="0" w:type="dxa"/>
            </w:tcMar>
            <w:vAlign w:val="center"/>
          </w:tcPr>
          <w:p>
            <w:pPr>
              <w:pStyle w:val="TableContents"/>
              <w:bidi w:val="0"/>
              <w:spacing w:before="0" w:after="283"/>
              <w:jc w:val="both"/>
              <w:rPr/>
            </w:pPr>
            <w:r>
              <w:rPr/>
              <w:t>23.3*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xml:space="preserve">Consent of Dorsey &amp; Whitney (included in </w:t>
            </w:r>
            <w:hyperlink w:anchor="ipower_ex0501.htm">
              <w:r>
                <w:rPr>
                  <w:rStyle w:val="InternetLink"/>
                </w:rPr>
                <w:t>Exhibit 5.1</w:t>
              </w:r>
            </w:hyperlink>
            <w:r>
              <w:rPr/>
              <w:t>)</w:t>
            </w:r>
          </w:p>
        </w:tc>
      </w:tr>
      <w:tr>
        <w:trPr/>
        <w:tc>
          <w:tcPr>
            <w:tcW w:w="890" w:type="dxa"/>
            <w:tcBorders/>
            <w:shd w:fill="CCEEFF" w:val="clear"/>
            <w:tcMar>
              <w:bottom w:w="0" w:type="dxa"/>
            </w:tcMar>
            <w:vAlign w:val="center"/>
          </w:tcPr>
          <w:p>
            <w:pPr>
              <w:pStyle w:val="TableContents"/>
              <w:bidi w:val="0"/>
              <w:spacing w:before="0" w:after="283"/>
              <w:jc w:val="left"/>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poa">
              <w:r>
                <w:rPr>
                  <w:rStyle w:val="InternetLink"/>
                </w:rPr>
                <w:t>Power of Attorney</w:t>
              </w:r>
            </w:hyperlink>
            <w:r>
              <w:rPr/>
              <w:t xml:space="preserve"> (included on signature page to this registration statement)</w:t>
            </w:r>
          </w:p>
        </w:tc>
      </w:tr>
      <w:tr>
        <w:trPr/>
        <w:tc>
          <w:tcPr>
            <w:tcW w:w="890" w:type="dxa"/>
            <w:tcBorders/>
            <w:shd w:fill="FFFFFF" w:val="clear"/>
            <w:tcMar>
              <w:bottom w:w="0" w:type="dxa"/>
            </w:tcMar>
            <w:vAlign w:val="center"/>
          </w:tcPr>
          <w:p>
            <w:pPr>
              <w:pStyle w:val="TableContents"/>
              <w:bidi w:val="0"/>
              <w:spacing w:before="0" w:after="283"/>
              <w:jc w:val="lef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Form T-1 Statement of Eligibility and Qualification of Trustee under the Senior Indenture under the Trust Indenture Act of 1939, as amended.</w:t>
            </w:r>
          </w:p>
        </w:tc>
      </w:tr>
      <w:tr>
        <w:trPr/>
        <w:tc>
          <w:tcPr>
            <w:tcW w:w="890" w:type="dxa"/>
            <w:tcBorders/>
            <w:shd w:fill="CCEEFF" w:val="clear"/>
            <w:tcMar>
              <w:bottom w:w="0" w:type="dxa"/>
            </w:tcMar>
            <w:vAlign w:val="center"/>
          </w:tcPr>
          <w:p>
            <w:pPr>
              <w:pStyle w:val="TableContents"/>
              <w:bidi w:val="0"/>
              <w:spacing w:before="0" w:after="283"/>
              <w:jc w:val="left"/>
              <w:rPr/>
            </w:pPr>
            <w:r>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r>
              <w:rPr/>
              <w:t>Form T-1 Statement of Eligibility and Qualification of Trustee under the Subordinated Indenture under the Trust Indenture Act of 1939, as amended.</w:t>
            </w:r>
          </w:p>
        </w:tc>
      </w:tr>
      <w:tr>
        <w:trPr/>
        <w:tc>
          <w:tcPr>
            <w:tcW w:w="890" w:type="dxa"/>
            <w:tcBorders/>
            <w:shd w:fill="FFFFFF" w:val="clear"/>
            <w:tcMar>
              <w:bottom w:w="0" w:type="dxa"/>
            </w:tcMar>
            <w:vAlign w:val="center"/>
          </w:tcPr>
          <w:p>
            <w:pPr>
              <w:pStyle w:val="TableContents"/>
              <w:bidi w:val="0"/>
              <w:spacing w:before="0" w:after="283"/>
              <w:jc w:val="both"/>
              <w:rPr/>
            </w:pPr>
            <w:r>
              <w:rPr/>
              <w:t>107*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ipower_ex107.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left"/>
              <w:rPr/>
            </w:pPr>
            <w:r>
              <w:rPr/>
              <w:t>Filed herewith.</w:t>
            </w:r>
          </w:p>
        </w:tc>
      </w:tr>
      <w:tr>
        <w:trPr/>
        <w:tc>
          <w:tcPr>
            <w:tcW w:w="299"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To the extent applicable, to be filed by a post-effective amendment or as an exhibit to a document filed under the Exchange Act and incorporated by reference herein.</w:t>
            </w:r>
          </w:p>
        </w:tc>
      </w:tr>
      <w:tr>
        <w:trPr/>
        <w:tc>
          <w:tcPr>
            <w:tcW w:w="299"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To be filed, if necessary, separately under the electronic form type 305B2 pursuant to Section 305(B)(2) of the Trust Indenture Act of 1939, as amended.</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include any prospectus required by Section 10(a)(3) of the Securities Act of 1933, as amended;</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(1)(a), (b) and (c)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1010" w:right="1000" w:firstLine="399"/>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000" w:firstLine="3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preliminary prospectus or prospectus of the undersigned registrant relating to the offering required to be filed pursuant to Rule 424;</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free writing prospectus relating to the offering prepared by or on behalf of the undersigned registrant or used or referred to by the undersigned registrant;</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1440" w:right="1440" w:firstLine="39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communication that is an offer in the offering made by the undersigned registrant to the purchaser.</w:t>
      </w:r>
    </w:p>
    <w:p>
      <w:pPr>
        <w:pStyle w:val="TextBody"/>
        <w:bidi w:val="0"/>
        <w:spacing w:before="0" w:after="0"/>
        <w:ind w:left="101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1010" w:right="100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1010" w:right="100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0" w:after="0"/>
        <w:ind w:left="1080" w:right="100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Rancho Cucamonga of the State of California, on the 9th day of October, 2026.</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 xml:space="preserve">iPOWER INC.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i/>
              </w:rPr>
            </w:pPr>
            <w:r>
              <w:rPr>
                <w:i/>
              </w:rPr>
              <w:t>/s/ Chenlong Tan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Chenlong Tan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oa"/>
      <w:bookmarkEnd w:id="20"/>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Chenlong Tan, as his or her true and lawful attorney-in-fact and agent,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below by the following persons in the capacities and on October 9,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7"/>
        <w:gridCol w:w="60"/>
        <w:gridCol w:w="6778"/>
        <w:gridCol w:w="60"/>
        <w:gridCol w:w="1390"/>
      </w:tblGrid>
      <w:tr>
        <w:trPr/>
        <w:tc>
          <w:tcPr>
            <w:tcW w:w="1917" w:type="dxa"/>
            <w:tcBorders>
              <w:bottom w:val="single" w:sz="8" w:space="0" w:color="000000"/>
            </w:tcBorders>
            <w:vAlign w:val="center"/>
          </w:tcPr>
          <w:p>
            <w:pPr>
              <w:pStyle w:val="TableContents"/>
              <w:bidi w:val="0"/>
              <w:spacing w:before="0" w:after="283"/>
              <w:jc w:val="left"/>
              <w:rPr>
                <w:b/>
              </w:rPr>
            </w:pPr>
            <w:r>
              <w:rPr>
                <w:b/>
              </w:rPr>
              <w:t>Person</w:t>
            </w:r>
          </w:p>
        </w:tc>
        <w:tc>
          <w:tcPr>
            <w:tcW w:w="60" w:type="dxa"/>
            <w:tcBorders/>
            <w:tcMar>
              <w:bottom w:w="0" w:type="dxa"/>
            </w:tcMar>
            <w:vAlign w:val="center"/>
          </w:tcPr>
          <w:p>
            <w:pPr>
              <w:pStyle w:val="TableContents"/>
              <w:bidi w:val="0"/>
              <w:spacing w:before="0" w:after="283"/>
              <w:jc w:val="left"/>
              <w:rPr/>
            </w:pPr>
            <w:r>
              <w:rPr/>
              <w:t> </w:t>
            </w:r>
          </w:p>
        </w:tc>
        <w:tc>
          <w:tcPr>
            <w:tcW w:w="6778" w:type="dxa"/>
            <w:tcBorders>
              <w:bottom w:val="single" w:sz="8" w:space="0" w:color="000000"/>
            </w:tcBorders>
            <w:vAlign w:val="center"/>
          </w:tcPr>
          <w:p>
            <w:pPr>
              <w:pStyle w:val="TableContents"/>
              <w:bidi w:val="0"/>
              <w:spacing w:before="0" w:after="283"/>
              <w:jc w:val="left"/>
              <w:rPr>
                <w:b/>
              </w:rPr>
            </w:pPr>
            <w:r>
              <w:rPr>
                <w:b/>
              </w:rPr>
              <w:t>Capacity</w:t>
            </w:r>
          </w:p>
        </w:tc>
        <w:tc>
          <w:tcPr>
            <w:tcW w:w="60" w:type="dxa"/>
            <w:tcBorders/>
            <w:tcMar>
              <w:bottom w:w="0" w:type="dxa"/>
            </w:tcMar>
            <w:vAlign w:val="center"/>
          </w:tcPr>
          <w:p>
            <w:pPr>
              <w:pStyle w:val="TableContents"/>
              <w:bidi w:val="0"/>
              <w:spacing w:before="0" w:after="283"/>
              <w:jc w:val="left"/>
              <w:rPr/>
            </w:pPr>
            <w:r>
              <w:rPr/>
              <w:t> </w:t>
            </w:r>
          </w:p>
        </w:tc>
        <w:tc>
          <w:tcPr>
            <w:tcW w:w="1390" w:type="dxa"/>
            <w:tcBorders>
              <w:bottom w:val="single" w:sz="8" w:space="0" w:color="000000"/>
            </w:tcBorders>
            <w:vAlign w:val="center"/>
          </w:tcPr>
          <w:p>
            <w:pPr>
              <w:pStyle w:val="TableContents"/>
              <w:bidi w:val="0"/>
              <w:spacing w:before="0" w:after="283"/>
              <w:jc w:val="left"/>
              <w:rPr>
                <w:b/>
              </w:rPr>
            </w:pPr>
            <w:r>
              <w:rPr>
                <w:b/>
              </w:rPr>
              <w:t>Date</w:t>
            </w:r>
          </w:p>
        </w:tc>
      </w:tr>
      <w:tr>
        <w:trPr/>
        <w:tc>
          <w:tcPr>
            <w:tcW w:w="1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bottom w:val="single" w:sz="8" w:space="0" w:color="000000"/>
            </w:tcBorders>
            <w:vAlign w:val="center"/>
          </w:tcPr>
          <w:p>
            <w:pPr>
              <w:pStyle w:val="TableContents"/>
              <w:bidi w:val="0"/>
              <w:spacing w:before="0" w:after="283"/>
              <w:jc w:val="left"/>
              <w:rPr>
                <w:i/>
              </w:rPr>
            </w:pPr>
            <w:r>
              <w:rPr>
                <w:i/>
              </w:rPr>
              <w:t>/s/ Chenlong Tan</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Chief Executive Officer, Interim Chief Financial Officer, and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xml:space="preserve">October 9, 2026 </w:t>
            </w:r>
          </w:p>
        </w:tc>
      </w:tr>
      <w:tr>
        <w:trPr/>
        <w:tc>
          <w:tcPr>
            <w:tcW w:w="1917" w:type="dxa"/>
            <w:tcBorders/>
            <w:tcMar>
              <w:bottom w:w="0" w:type="dxa"/>
            </w:tcMar>
            <w:vAlign w:val="center"/>
          </w:tcPr>
          <w:p>
            <w:pPr>
              <w:pStyle w:val="TableContents"/>
              <w:bidi w:val="0"/>
              <w:spacing w:before="0" w:after="283"/>
              <w:jc w:val="left"/>
              <w:rPr/>
            </w:pPr>
            <w:r>
              <w:rPr/>
              <w:t>Chenlong Tan</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r>
              <w:rPr/>
              <w:t>(principal executive officer, 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bottom w:val="single" w:sz="8" w:space="0" w:color="000000"/>
            </w:tcBorders>
            <w:vAlign w:val="center"/>
          </w:tcPr>
          <w:p>
            <w:pPr>
              <w:pStyle w:val="TableContents"/>
              <w:bidi w:val="0"/>
              <w:spacing w:before="0" w:after="283"/>
              <w:jc w:val="left"/>
              <w:rPr>
                <w:i/>
              </w:rPr>
            </w:pPr>
            <w:r>
              <w:rPr>
                <w:i/>
              </w:rPr>
              <w:t xml:space="preserve">/s/ Yi Yang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October 9, 2026</w:t>
            </w:r>
          </w:p>
        </w:tc>
      </w:tr>
      <w:tr>
        <w:trPr/>
        <w:tc>
          <w:tcPr>
            <w:tcW w:w="1917" w:type="dxa"/>
            <w:tcBorders/>
            <w:tcMar>
              <w:bottom w:w="0" w:type="dxa"/>
            </w:tcMar>
            <w:vAlign w:val="center"/>
          </w:tcPr>
          <w:p>
            <w:pPr>
              <w:pStyle w:val="TableContents"/>
              <w:bidi w:val="0"/>
              <w:spacing w:before="0" w:after="283"/>
              <w:jc w:val="left"/>
              <w:rPr/>
            </w:pPr>
            <w:r>
              <w:rPr/>
              <w:t>Yi Yang</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bottom w:val="single" w:sz="8" w:space="0" w:color="000000"/>
            </w:tcBorders>
            <w:vAlign w:val="center"/>
          </w:tcPr>
          <w:p>
            <w:pPr>
              <w:pStyle w:val="TableContents"/>
              <w:bidi w:val="0"/>
              <w:spacing w:before="0" w:after="283"/>
              <w:jc w:val="left"/>
              <w:rPr>
                <w:i/>
              </w:rPr>
            </w:pPr>
            <w:r>
              <w:rPr>
                <w:i/>
              </w:rPr>
              <w:t>/s/ Bennet Tchaikovsky</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October 9, 2026</w:t>
            </w:r>
          </w:p>
        </w:tc>
      </w:tr>
      <w:tr>
        <w:trPr/>
        <w:tc>
          <w:tcPr>
            <w:tcW w:w="1917" w:type="dxa"/>
            <w:tcBorders/>
            <w:tcMar>
              <w:bottom w:w="0" w:type="dxa"/>
            </w:tcMar>
            <w:vAlign w:val="center"/>
          </w:tcPr>
          <w:p>
            <w:pPr>
              <w:pStyle w:val="TableContents"/>
              <w:bidi w:val="0"/>
              <w:spacing w:before="0" w:after="283"/>
              <w:jc w:val="left"/>
              <w:rPr/>
            </w:pPr>
            <w:r>
              <w:rPr/>
              <w:t>Bennet Tchaikovsky</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bottom w:val="single" w:sz="8" w:space="0" w:color="000000"/>
            </w:tcBorders>
            <w:vAlign w:val="center"/>
          </w:tcPr>
          <w:p>
            <w:pPr>
              <w:pStyle w:val="TableContents"/>
              <w:bidi w:val="0"/>
              <w:spacing w:before="0" w:after="283"/>
              <w:jc w:val="left"/>
              <w:rPr>
                <w:i/>
              </w:rPr>
            </w:pPr>
            <w:r>
              <w:rPr>
                <w:i/>
              </w:rPr>
              <w:t>/s/ Yue Guo</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October 9, 2026</w:t>
            </w:r>
          </w:p>
        </w:tc>
      </w:tr>
      <w:tr>
        <w:trPr/>
        <w:tc>
          <w:tcPr>
            <w:tcW w:w="1917" w:type="dxa"/>
            <w:tcBorders/>
            <w:tcMar>
              <w:bottom w:w="0" w:type="dxa"/>
            </w:tcMar>
            <w:vAlign w:val="center"/>
          </w:tcPr>
          <w:p>
            <w:pPr>
              <w:pStyle w:val="TableContents"/>
              <w:bidi w:val="0"/>
              <w:spacing w:before="0" w:after="283"/>
              <w:jc w:val="left"/>
              <w:rPr/>
            </w:pPr>
            <w:r>
              <w:rPr/>
              <w:t xml:space="preserve">Yue Guo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17" w:type="dxa"/>
            <w:tcBorders>
              <w:bottom w:val="single" w:sz="8" w:space="0" w:color="000000"/>
            </w:tcBorders>
            <w:vAlign w:val="center"/>
          </w:tcPr>
          <w:p>
            <w:pPr>
              <w:pStyle w:val="TableContents"/>
              <w:bidi w:val="0"/>
              <w:spacing w:before="0" w:after="283"/>
              <w:jc w:val="left"/>
              <w:rPr>
                <w:i/>
              </w:rPr>
            </w:pPr>
            <w:r>
              <w:rPr>
                <w:i/>
              </w:rPr>
              <w:t>/s/ Hanxi Li</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October 9, 2026</w:t>
            </w:r>
          </w:p>
        </w:tc>
      </w:tr>
      <w:tr>
        <w:trPr/>
        <w:tc>
          <w:tcPr>
            <w:tcW w:w="1917" w:type="dxa"/>
            <w:tcBorders/>
            <w:tcMar>
              <w:bottom w:w="0" w:type="dxa"/>
            </w:tcMar>
            <w:vAlign w:val="center"/>
          </w:tcPr>
          <w:p>
            <w:pPr>
              <w:pStyle w:val="TableContents"/>
              <w:bidi w:val="0"/>
              <w:spacing w:before="0" w:after="283"/>
              <w:jc w:val="left"/>
              <w:rPr/>
            </w:pPr>
            <w:r>
              <w:rPr/>
              <w:t>Hanxi Li</w:t>
            </w:r>
          </w:p>
        </w:tc>
        <w:tc>
          <w:tcPr>
            <w:tcW w:w="60" w:type="dxa"/>
            <w:tcBorders/>
            <w:tcMar>
              <w:bottom w:w="0" w:type="dxa"/>
            </w:tcMar>
            <w:vAlign w:val="center"/>
          </w:tcPr>
          <w:p>
            <w:pPr>
              <w:pStyle w:val="TableContents"/>
              <w:bidi w:val="0"/>
              <w:spacing w:before="0" w:after="283"/>
              <w:jc w:val="left"/>
              <w:rPr/>
            </w:pPr>
            <w:r>
              <w:rPr/>
              <w:t> </w:t>
            </w:r>
          </w:p>
        </w:tc>
        <w:tc>
          <w:tcPr>
            <w:tcW w:w="67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ipower_ex0501.htm"/>
      <w:bookmarkStart w:id="22" w:name="ksipower_ex0501"/>
      <w:bookmarkEnd w:id="21"/>
      <w:bookmarkEnd w:id="22"/>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42875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1428750" cy="2667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offer and sale by the Company from time to time of up to $50,000,000 aggregate initial offering price of (i) shares of its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(ii) warrants to purchase Common Stock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(iii) rights to purchase Common Stock, Warrants, Preferred Stock, Debt Securities, and Units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 (iv) shares of its preferred stock, par value $0.001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(v) its debt securities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to be issued under an indenture (as it may be supplemented or amended from time to time, an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to be entered into between the Company and the trustee named therein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the form of which is attached to the Registration Statement as Exhibit 4.8, (vi) units consisting of any combination of Common Stock, Warrants, Rights, , Preferred Stock, and Debt Securities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and, together with the Common Stock, Warrants, Rights, , Preferred Stock, and Debt Securities,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including any Securities issuable upon conversion, exchange or exercise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and instruments, that such agreements and instruments have been duly authorized by all requisite action (corporate or otherwise), executed and delivered by such parties and that such agreements and instruments are the valid, binding and enforceable obligations of such parties.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assuming that (i) the Registration Statement and all amendments thereto (including post-effective amendments) will have become effective under the Securities Act and will continue to be so effective, (ii) a prospectus supplement to the prospectus contained in the Registration Statement, describing the Securities offered thereby, will have been prepared and filed with the Commission under the Securities Act, (iii) all Securities will be issued and sold in compliance with applicable federal and state securities laws and in the manner stated in the Registration Statement and the applicable prospectus supplement, (iv) with respect to any newly-issued shares of Common Stock or Preferred Stock to be offered by the Company pursuant to the Registration Statement, there will be sufficient shares of Common Stock or Preferred Stock, as applicable, authorized under the organizational documents of the Company and not otherwise reserved for issuance, (v) the organizational documents of the Company, each as amended as of the date hereof, will not have been amended from the date hereof in a manner that would affect the validity of our opinions set forth below, (vi) none of the terms of any Security to be established subsequent to the date hereof, nor the issuance, sale or delivery of such Security, nor the compliance by the Company with the terms of such Security, (a) will violate (1) any applicable law or (2) the organizational documents of the Company or (b) will result in a violation or breach of (1) any provision of any instrument or agreement then binding upon the Company or any of its assets or (2) any restriction imposed by any court or governmental body having jurisdiction over the Company or any of its assets, (vii) any applicable purchase, underwriting or similar agreement, and any other applicable agreement with respect to any Securities offered or sold, will have been duly authorized and validly executed and delivered by the Company and (viii) any Securities issuable upon conversion, exchange or exercise of any Security being offered or sold will be duly authorized, created and, if appropriate, reserved for issuance upon such conversion, exchange or exercise,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1301 Avenue of the Americas | New York, NY | 10019-6119 | T 212.415.9200 | F 212.953.7201 | dorsey.com</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t>With respect to any shares of Common Stock to be offered by the Company pursuant to the Registration Statement (the “</w:t>
            </w:r>
            <w:r>
              <w:rPr>
                <w:b/>
              </w:rPr>
              <w:t>Offered Common Shares</w:t>
            </w:r>
            <w:r>
              <w:rPr/>
              <w:t>”), when (a) the board of directors of the Company, a duly constituted and acting committee thereof or any officers of the Company delegated such authority (such board of directors, committee or officers being referred to herein as the “</w:t>
            </w:r>
            <w:r>
              <w:rPr>
                <w:b/>
              </w:rPr>
              <w:t>Board</w:t>
            </w:r>
            <w:r>
              <w:rPr/>
              <w:t>”) have taken all necessary corporate action to authorize and approve the terms of the issuance and sale of the Offered Common Shares in conformity with the organizational documents of the Company and (b) certificates in the form required by the Nevada Revised Statutes representing the Offered Common Shares have been duly executed, countersigned, registered and delivered either (i) in accordance with the applicable purchase, underwriting or similar agreement approved by the Board upon payment of the consideration therefor (which consideration is not less than the par value of the Common Stock) provided for therein or (ii) upon conversion, exchange or exercise of any other Security, in accordance with the terms of such Security or the instrument governing such Security providing for such conversion, exchange or exercise as approved by the Board, for the consideration approved by the Board (which consideration is not less than the par value of the Common Stock), then the Offered Common Shares will be validly issued, fully paid and non-assessable.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With respect to any Warrants to be offered by the Company pursuant to the Registration Statement (the “</w:t>
            </w:r>
            <w:r>
              <w:rPr>
                <w:b/>
              </w:rPr>
              <w:t>Offered Warrants</w:t>
            </w:r>
            <w:r>
              <w:rPr/>
              <w:t>”), when (a) a warrant agreement relating to the Offered Warrants (the “</w:t>
            </w:r>
            <w:r>
              <w:rPr>
                <w:b/>
              </w:rPr>
              <w:t>Warrant Agreement</w:t>
            </w:r>
            <w:r>
              <w:rPr/>
              <w:t>”), to be entered into between the Company and the warrant agent named therein (the “</w:t>
            </w:r>
            <w:r>
              <w:rPr>
                <w:b/>
              </w:rPr>
              <w:t>Warrant Agent</w:t>
            </w:r>
            <w:r>
              <w:rPr/>
              <w:t>”), has been duly authorized, executed and delivered by the Company, (b) the Board has taken all necessary corporate action to authorize and approve the terms of the Offered Warrants and their issuance and sale in conformity with the Warrant Agreement and (c) the Offered Warrants have been issued, executed and countersigned by the Warrant Agent in accordance with the terms of the Warrant Agreement and delivered either (i) in accordance with the applicable purchase, underwriting or similar agreement approved by the Board upon payment of the consideration therefor provided for therein or (ii) upon conversion or exchange of any other Security, in accordance with the terms of such Security or the instrument governing such Security providing for such conversion or exchange as approved by the Board, for the consideration approved by the Board, then the Offered Warrants will constitute valid and binding obligations of the Company, enforceable against the Company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With respect to any Rights to be offered by the Company pursuant to the Registration Statement (the “</w:t>
            </w:r>
            <w:r>
              <w:rPr>
                <w:b/>
              </w:rPr>
              <w:t>Offered Rights</w:t>
            </w:r>
            <w:r>
              <w:rPr/>
              <w:t>”), when (a) a rights agreement relating to the Offered Rights (the “Rights Agreement”), to be entered into between the Company and the rights agent named therein (the “Rights Agent”), has been duly authorized, executed and delivered by the Company, (b) the Board has taken all necessary corporate action to authorize and approve the terms of the Offered Rights and their issuance and sale in conformity with the Rights Agreement and (c) the Offered Rights have been issued, executed and countersigned by the Rights Agent in accordance with the terms of the Rights Agreement and delivered either (i) in accordance with the applicable purchase, underwriting or similar agreement approved by the Board upon payment of the consideration therefor provided for therein or (ii) upon conversion or exchange of any other Security, in accordance with the terms of such Security or the instrument governing such Security providing for such conversion or exchange as approved by the Board, for the consideration approved by the Board, then the Offered Rights will constitute valid and binding obligations of the Company, enforceable against the Company in accordance with their terms.</w:t>
            </w:r>
          </w:p>
        </w:tc>
      </w:tr>
      <w:tr>
        <w:trPr/>
        <w:tc>
          <w:tcPr>
            <w:tcW w:w="74"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4.</w:t>
            </w:r>
          </w:p>
        </w:tc>
        <w:tc>
          <w:tcPr>
            <w:tcW w:w="9988" w:type="dxa"/>
            <w:tcBorders/>
            <w:vAlign w:val="center"/>
          </w:tcPr>
          <w:p>
            <w:pPr>
              <w:pStyle w:val="TableContents"/>
              <w:bidi w:val="0"/>
              <w:spacing w:before="0" w:after="283"/>
              <w:jc w:val="both"/>
              <w:rPr/>
            </w:pPr>
            <w:r>
              <w:rPr/>
              <w:t>With respect to any shares of any class or series of Preferred Stock to be offered by the Company pursuant to the Registration Statement (the “</w:t>
            </w:r>
            <w:r>
              <w:rPr>
                <w:b/>
              </w:rPr>
              <w:t>Offered Preferred Shares</w:t>
            </w:r>
            <w:r>
              <w:rPr/>
              <w:t>”), when (a) the Board has taken all necessary corporate action to establish the applicable class or series of Preferred Stock in accordance with the Nevada Revised Statutes (including, without limitation, by the Company properly filing a certificate of designations to establish such class or series of Preferred Stock with the Secretary of State of the State of Nevada), (b) the Board has taken all necessary corporate action to authorize and approve the terms of the Offered Preferred Shares and their issuance and sale in conformity with the terms of the applicable class or series of Preferred Stock as established by the Board and (c) certificates in the form required by the Nevada Revised Statutes representing the Offered Preferred Shares have been duly executed, countersigned, registered and delivered either (i) in accordance with the applicable purchase, underwriting or similar agreement approved by the Board upon payment of the consideration therefor (which consideration is not less than the par value of the Preferred Stock) provided for therein or (ii) upon conversion, exchange or exercise of any other Security, in accordance with the terms of such Security or the instrument governing such Security providing for such conversion, exchange or exercise as approved by the Board, for the consideration approved by the Board (which consideration is not less than the par value of the Preferred Stock), then the Offered Preferred Shares will be validly issued,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t>With respect to any Debt Securities to be offered by the Company pursuant to the Registration Statement (the “</w:t>
            </w:r>
            <w:r>
              <w:rPr>
                <w:b/>
              </w:rPr>
              <w:t>Offered Debt Securities</w:t>
            </w:r>
            <w:r>
              <w:rPr/>
              <w:t>”), when (a) the Trustee has been qualified to act as trustee under the Indenture, (b) the Indenture has been duly authorized, executed and delivered by the Company, (c) the Indenture has been duly qualified under the Trust Indenture Act of 1939, as amended, (d) the Board has taken all necessary corporate action to authorize and approve the terms of the Offered Debt Securities and their issuance and sale in conformity with the Indenture and (e) the Offered Debt Securities have been issued, executed and authenticated by the Trustee in accordance with the terms of the Indenture and delivered either (i) in accordance with the applicable purchase, underwriting or similar agreement approved by the Board upon payment of the consideration therefor provided for therein or (ii) upon conversion, exchange or exercise of any other Security, in accordance with the terms of such Security or the instrument governing such Security providing for such conversion, exchange or exercise as approved by the Board, for the consideration approved by the Board, then the Offered Debt Securities will constitute valid and binding obligations of the Company, enforceable against the Company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6.</w:t>
            </w:r>
          </w:p>
        </w:tc>
        <w:tc>
          <w:tcPr>
            <w:tcW w:w="10024" w:type="dxa"/>
            <w:tcBorders/>
            <w:vAlign w:val="center"/>
          </w:tcPr>
          <w:p>
            <w:pPr>
              <w:pStyle w:val="TableContents"/>
              <w:bidi w:val="0"/>
              <w:spacing w:before="0" w:after="283"/>
              <w:jc w:val="both"/>
              <w:rPr/>
            </w:pPr>
            <w:r>
              <w:rPr/>
              <w:t>With respect to any Units to be offered by the Company pursuant to the Registration Statement (the “</w:t>
            </w:r>
            <w:r>
              <w:rPr>
                <w:b/>
              </w:rPr>
              <w:t>Offered Units</w:t>
            </w:r>
            <w:r>
              <w:rPr/>
              <w:t>”), when (a) a unit agreement relating to the Offered Units (the “Unit Agreement”), to be entered into between the Company and the unit agent named therein (the “Unit Agent”), has been duly authorized, executed and delivered by the Company, (b) the Board has taken all necessary corporate action to authorize and approve the terms of the Offered Units and their issuance and sale in conformity with the Unit Agreement and (c) the Offered Units have been issued, executed and countersigned by the Unit Agent in accordance with the terms of the Unit Agreement and delivered either (i) in accordance with the applicable purchase, underwriting or similar agreement approved by the Board upon payment of the consideration therefor provided for therein or (ii) upon conversion or exchange of any other Security, in accordance with the terms of such Security or the instrument governing such Security providing for such conversion or exchange as approved by the Board, for the consideration approved by the Board, then the Offered Units will constitute valid and binding obligations of the Company, enforceable against the Company in accordance with their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are subject to the following qualifications and exceptions: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Our opinions set forth above are subject to the effect of any applicable bankruptcy, insolvency, reorganization, moratorium or similar law relating to or affecting creditors’ rights generally (including, without limitation, fraudulent conveyance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Our opinions set forth above are subject to the effect of general principles of equity, including, without limitation, concepts of materiality, reasonableness, good faith and fair dealing and the possible unavailability of specific performance or injunctive relief, regardless of whether considered in a proceeding in equity or at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Our opinions set forth above are subject to limitations regarding the availability of indemnification and contribution where such indemnification or contribution may be limited by applicable law or the application of principles of public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t>We express no opinion as to the enforceability of (i) provisions that relate to choice of law, forum selection or submission to jurisdiction (including, without limitation, any express or implied waiver of any objection to venue in any court or of any objection that a court is an inconvenient forum), (ii) waivers by the Company of any statutory or constitutional rights or remedies, (iii) terms which excuse any person or entity from liability for, or require the Company to indemnify such person or entity against, such person’s or entity’s negligence or willful misconduct or (iv) obligations to pay any prepayment premium, default interest rate, early termination fee or other form of liquidated damages, if the payment of such premium, interest rate, fee or damages may be construed as unreasonable in relation to actual damages or disproportionate to actual damages suffered as a result of such prepayment, default or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283"/>
              <w:jc w:val="both"/>
              <w:rPr/>
            </w:pPr>
            <w:r>
              <w:rPr/>
              <w:t>We draw your attention to the fact that, under certain circumstances, the enforceability of terms to the effect that provisions may not be waived or modified except in writing may be limited.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as of the date of this opinion, a judgment for money in an action based on a Security denominated in a foreign currency or currency unit in a federal or state court in the United States ordinarily would be enforced in the United States only in United States dollars. The date used to determine the rate of conversion of the foreign currency or currency unit in which a particular Security is denominated into United States dollars will depend upon various factors, including which court renders the judgment. Under Section 27 of the New York Judiciary Law, a state court in the State of New York rendering a judgment on a Security would be required to render that judgment in the foreign currency or currency unit in which the Security is denominated, and the judgment would be converted into United States dollars at the exchange rate prevailing on the date of entry of the judgment. We express no opinion as to the enforceability of provisions to the extent they require that a claim with respect to a Security (or a judgment in respect of such a claim) be converted into United States dollars at a particular rate of exchange and/or on a particular date, to the extent applicable law provides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laws of the State of New York and the State of Nevada, in particular the Nevada Revised Statutes, and the federal laws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Dorsey &amp; Whitney LLP</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MJP/NAA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3" w:name="ipower_ex107.htm"/>
      <w:bookmarkStart w:id="24" w:name="ksipower_ex107"/>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65" w:type="dxa"/>
        <w:jc w:val="left"/>
        <w:tblInd w:w="0" w:type="dxa"/>
        <w:tblLayout w:type="fixed"/>
        <w:tblCellMar>
          <w:top w:w="0" w:type="dxa"/>
          <w:left w:w="0" w:type="dxa"/>
          <w:bottom w:w="0" w:type="dxa"/>
          <w:right w:w="0" w:type="dxa"/>
        </w:tblCellMar>
      </w:tblPr>
      <w:tblGrid>
        <w:gridCol w:w="530"/>
        <w:gridCol w:w="60"/>
        <w:gridCol w:w="1160"/>
        <w:gridCol w:w="60"/>
        <w:gridCol w:w="905"/>
        <w:gridCol w:w="60"/>
        <w:gridCol w:w="575"/>
        <w:gridCol w:w="60"/>
        <w:gridCol w:w="1100"/>
        <w:gridCol w:w="60"/>
        <w:gridCol w:w="1025"/>
        <w:gridCol w:w="60"/>
        <w:gridCol w:w="696"/>
        <w:gridCol w:w="299"/>
        <w:gridCol w:w="60"/>
        <w:gridCol w:w="140"/>
        <w:gridCol w:w="1400"/>
        <w:gridCol w:w="60"/>
        <w:gridCol w:w="92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6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Preferred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Preferred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50,000,000.00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4,350.00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50,000,000.00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4,350.00</w:t>
            </w:r>
          </w:p>
        </w:tc>
      </w:tr>
      <w:tr>
        <w:trPr/>
        <w:tc>
          <w:tcPr>
            <w:tcW w:w="665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65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4,350.00</w:t>
            </w:r>
          </w:p>
        </w:tc>
      </w:tr>
      <w:tr>
        <w:trPr/>
        <w:tc>
          <w:tcPr>
            <w:tcW w:w="665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788" w:type="dxa"/>
        <w:jc w:val="left"/>
        <w:tblInd w:w="0" w:type="dxa"/>
        <w:tblLayout w:type="fixed"/>
        <w:tblCellMar>
          <w:top w:w="0" w:type="dxa"/>
          <w:left w:w="0" w:type="dxa"/>
          <w:bottom w:w="0" w:type="dxa"/>
          <w:right w:w="0" w:type="dxa"/>
        </w:tblCellMar>
      </w:tblPr>
      <w:tblGrid>
        <w:gridCol w:w="305"/>
        <w:gridCol w:w="23"/>
        <w:gridCol w:w="1460"/>
      </w:tblGrid>
      <w:tr>
        <w:trPr/>
        <w:tc>
          <w:tcPr>
            <w:tcW w:w="305"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See footnote 1.</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amount to be registered consists of up to $50,000,000 of an indeterminate amount of shares of common stock, shares of preferred stock, debt securities, warrants, rights, and/or units. There is also being registered hereunder such currently indeterminate number of (i) shares of common stock or other securities of the registrant as may be issued upon conversion of, or in exchange for, convertible or exchangeable preferences shares and/or debt securities registered hereby, or (ii) shares of common stock, shares of preferred stock, debt securities or units as may be issued upon exercise of warrants registered hereby, as the case may be. Any securities registered hereunder may be sold separately or as units with the other securities registered hereunder.</w:t>
              <w:br/>
              <w:b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br/>
              <w:br/>
              <w:t>Estimated solely for the purpose of calculating the amount of the registration fee pursuant to Rule 457(o) of the Securities Act of 1933, as amended (the “Securities Act”). In no event will the aggregate offering price of all securities sold by the registrant from time to time pursuant to this registration statement exceed $50,000,000. No separate consideration will be received for (i) shares of common stock or other securities of the registrant that may be issued upon conversion of, or in exchange for, convertible or exchangeable shares of preferred stock and/or debt securities registered hereby, or (ii) shares of common stock, shares of preferred stock, debt securities or units that may be issued upon exercise of warrants registered hereby, as the case may be.</w:t>
              <w:br/>
              <w:br/>
              <w:t>Represents the total of the fee offsets claimed pursuant to Rule 457(p) under the Securities Act for the portion of registration fee previously paid with respect to the unsold securities of the Registrant, as set forth in Table 2.</w:t>
            </w:r>
          </w:p>
        </w:tc>
      </w:tr>
    </w:tbl>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2: Fee Offset Claims and Sources</w:t>
      </w:r>
    </w:p>
    <w:tbl>
      <w:tblPr>
        <w:tblW w:w="12515" w:type="dxa"/>
        <w:jc w:val="left"/>
        <w:tblInd w:w="0" w:type="dxa"/>
        <w:tblLayout w:type="fixed"/>
        <w:tblCellMar>
          <w:top w:w="0" w:type="dxa"/>
          <w:left w:w="0" w:type="dxa"/>
          <w:bottom w:w="0" w:type="dxa"/>
          <w:right w:w="0" w:type="dxa"/>
        </w:tblCellMar>
      </w:tblPr>
      <w:tblGrid>
        <w:gridCol w:w="785"/>
        <w:gridCol w:w="60"/>
        <w:gridCol w:w="980"/>
        <w:gridCol w:w="60"/>
        <w:gridCol w:w="575"/>
        <w:gridCol w:w="60"/>
        <w:gridCol w:w="575"/>
        <w:gridCol w:w="60"/>
        <w:gridCol w:w="800"/>
        <w:gridCol w:w="60"/>
        <w:gridCol w:w="575"/>
        <w:gridCol w:w="60"/>
        <w:gridCol w:w="575"/>
        <w:gridCol w:w="60"/>
        <w:gridCol w:w="140"/>
        <w:gridCol w:w="860"/>
        <w:gridCol w:w="60"/>
        <w:gridCol w:w="1160"/>
        <w:gridCol w:w="60"/>
        <w:gridCol w:w="1160"/>
        <w:gridCol w:w="60"/>
        <w:gridCol w:w="527"/>
        <w:gridCol w:w="528"/>
        <w:gridCol w:w="60"/>
        <w:gridCol w:w="140"/>
        <w:gridCol w:w="1400"/>
        <w:gridCol w:w="60"/>
        <w:gridCol w:w="140"/>
        <w:gridCol w:w="8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left"/>
              <w:rPr/>
            </w:pPr>
            <w:r>
              <w:rPr/>
              <w:t xml:space="preserve">Registrant or Filer Name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 xml:space="preserve">Form or Filing Type </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 xml:space="preserve">File Number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Initial Filing Date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Filing Date</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left"/>
              <w:rPr/>
            </w:pPr>
            <w:r>
              <w:rPr/>
              <w:t>Fee Offset Claimed</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 Associated with Fee Offset Claimed</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Title Associated with Fee Offset Claimed</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left"/>
              <w:rPr/>
            </w:pPr>
            <w:r>
              <w:rPr/>
              <w:t>Unsold Securities Associated with Fee Offset Claimed</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Unsold Aggregate Offering Amount Associated with Fee Offset Claimed</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left"/>
              <w:rPr/>
            </w:pPr>
            <w:r>
              <w:rPr/>
              <w:t>Fee Paid with Fee Offset Source</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2515" w:type="dxa"/>
            <w:gridSpan w:val="29"/>
            <w:tcBorders/>
            <w:vAlign w:val="center"/>
          </w:tcPr>
          <w:p>
            <w:pPr>
              <w:pStyle w:val="TableContents"/>
              <w:bidi w:val="0"/>
              <w:spacing w:before="0" w:after="283"/>
              <w:jc w:val="center"/>
              <w:rPr>
                <w:i/>
              </w:rPr>
            </w:pPr>
            <w:r>
              <w:rPr>
                <w:i/>
              </w:rPr>
              <w:t>Rules 457(b) and 0-11(a)(2)</w:t>
            </w:r>
          </w:p>
        </w:tc>
      </w:tr>
      <w:tr>
        <w:trPr/>
        <w:tc>
          <w:tcPr>
            <w:tcW w:w="12515" w:type="dxa"/>
            <w:gridSpan w:val="29"/>
            <w:tcBorders/>
            <w:vAlign w:val="center"/>
          </w:tcPr>
          <w:p>
            <w:pPr>
              <w:pStyle w:val="TableContents"/>
              <w:bidi w:val="0"/>
              <w:spacing w:before="0" w:after="283"/>
              <w:jc w:val="center"/>
              <w:rPr>
                <w:i/>
              </w:rPr>
            </w:pPr>
            <w:r>
              <w:rPr>
                <w:i/>
              </w:rPr>
              <w:t>Rule 457(p)</w:t>
            </w:r>
          </w:p>
        </w:tc>
      </w:tr>
      <w:tr>
        <w:trPr/>
        <w:tc>
          <w:tcPr>
            <w:tcW w:w="785" w:type="dxa"/>
            <w:tcBorders/>
            <w:vAlign w:val="center"/>
          </w:tcPr>
          <w:p>
            <w:pPr>
              <w:pStyle w:val="TableContents"/>
              <w:bidi w:val="0"/>
              <w:spacing w:before="0" w:after="283"/>
              <w:jc w:val="left"/>
              <w:rPr/>
            </w:pPr>
            <w:r>
              <w:rPr/>
              <w:t>Fee Offset Claims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iPower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333-274665</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09/25/2023</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4,350.00</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43,184,022.40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r>
      <w:tr>
        <w:trPr/>
        <w:tc>
          <w:tcPr>
            <w:tcW w:w="785" w:type="dxa"/>
            <w:tcBorders/>
            <w:vAlign w:val="center"/>
          </w:tcPr>
          <w:p>
            <w:pPr>
              <w:pStyle w:val="TableContents"/>
              <w:bidi w:val="0"/>
              <w:spacing w:before="0" w:after="283"/>
              <w:jc w:val="left"/>
              <w:rPr/>
            </w:pPr>
            <w:r>
              <w:rPr/>
              <w:t>Fee Offset Sources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iPower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333-274665</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09/25/2023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4,350.00</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Rule 457(p) Statement of Withdrawal, Termination, or Completion:</w:t>
      </w:r>
    </w:p>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pPr>
            <w:r>
              <w:rPr/>
              <w:t>The Registrant previously paid an aggregate of $5,510 in filing fees in connection with the registration of an aggregate of $50,000,000 of securities of securities pursuant to the Registrant’s Registration Statement on Form S-3 filed on September 25, 2023, as amended on a pre-effective basis on September 28, 2023, and declared effective on September 29, 2023 (the “Previous Registration Statement”). The Registrant has issued an aggregate of $6,815,977.60 of securities under the Previous Registration Statement. Therefore, an aggregate of $4,758.87 of SEC filing fees remains unutilized and is attributable to $43,184,022.40 of unsold securities previously registered under the Previous Registration Statement and is available for future registration fees pursuant to Rule 457(p) under the Securities Act. Accordingly, no additional filing fee is due with respect to such unsold securities in connection with the filing of this Registration Statement. The Previous Registration Statement and the offering of the unsold securities registered under the Previous Registration Statement will be deemed terminated as of the effective date of this Registration Statement.</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Offset Note(s):</w:t>
      </w:r>
    </w:p>
    <w:tbl>
      <w:tblPr>
        <w:tblW w:w="10205" w:type="dxa"/>
        <w:jc w:val="left"/>
        <w:tblInd w:w="0" w:type="dxa"/>
        <w:tblLayout w:type="fixed"/>
        <w:tblCellMar>
          <w:top w:w="0" w:type="dxa"/>
          <w:left w:w="0" w:type="dxa"/>
          <w:bottom w:w="0" w:type="dxa"/>
          <w:right w:w="0" w:type="dxa"/>
        </w:tblCellMar>
      </w:tblPr>
      <w:tblGrid>
        <w:gridCol w:w="281"/>
        <w:gridCol w:w="23"/>
        <w:gridCol w:w="9901"/>
      </w:tblGrid>
      <w:tr>
        <w:trPr/>
        <w:tc>
          <w:tcPr>
            <w:tcW w:w="281"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both"/>
              <w:rPr/>
            </w:pPr>
            <w:r>
              <w:rPr/>
              <w:t>This amount is attributable to the aggregate amount of unsold securities that were previously registered under the Previous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0072/000168316826007580/ipower_i10k-063026.htm" TargetMode="External"/><Relationship Id="rId4" Type="http://schemas.openxmlformats.org/officeDocument/2006/relationships/hyperlink" Target="https://www.sec.gov/Archives/edgar/data/0001830072/000168316826005251/ipower_8k.htm" TargetMode="External"/><Relationship Id="rId5" Type="http://schemas.openxmlformats.org/officeDocument/2006/relationships/hyperlink" Target="https://www.sec.gov/Archives/edgar/data/0001830072/000168316826005288/ipower_8k.htm" TargetMode="External"/><Relationship Id="rId6" Type="http://schemas.openxmlformats.org/officeDocument/2006/relationships/hyperlink" Target="https://www.sec.gov/Archives/edgar/data/0001830072/000168316826005540/ipower_8k.htm" TargetMode="External"/><Relationship Id="rId7" Type="http://schemas.openxmlformats.org/officeDocument/2006/relationships/hyperlink" Target="https://www.sec.gov/Archives/edgar/data/0001830072/000168316826005670/ipower_8k.htm" TargetMode="External"/><Relationship Id="rId8" Type="http://schemas.openxmlformats.org/officeDocument/2006/relationships/hyperlink" Target="https://www.sec.gov/Archives/edgar/data/0001830072/000168316826005727/ipower_8k.htm" TargetMode="External"/><Relationship Id="rId9" Type="http://schemas.openxmlformats.org/officeDocument/2006/relationships/hyperlink" Target="https://www.sec.gov/Archives/edgar/data/0001830072/000168316826005967/ipower_8k.htm" TargetMode="External"/><Relationship Id="rId10" Type="http://schemas.openxmlformats.org/officeDocument/2006/relationships/hyperlink" Target="https://www.sec.gov/Archives/edgar/data/0001830072/000168316826007176/ipower_8k.htm" TargetMode="External"/><Relationship Id="rId11" Type="http://schemas.openxmlformats.org/officeDocument/2006/relationships/hyperlink" Target="https://www.sec.gov/Archives/edgar/data/0001830072/000168316826007276/ipower_8k.htm" TargetMode="External"/><Relationship Id="rId12" Type="http://schemas.openxmlformats.org/officeDocument/2006/relationships/hyperlink" Target="http://www.sec.gov/Archives/edgar/data/1830072/000168316821001779/ipower_8a.htm" TargetMode="External"/><Relationship Id="rId13" Type="http://schemas.openxmlformats.org/officeDocument/2006/relationships/image" Target="media/image2.jpeg"/><Relationship Id="rId14" Type="http://schemas.openxmlformats.org/officeDocument/2006/relationships/hyperlink" Target="http://www.sec.gov/Archives/edgar/data/1830072/000168316821001774/ipower_ex0303.htm" TargetMode="External"/><Relationship Id="rId15" Type="http://schemas.openxmlformats.org/officeDocument/2006/relationships/hyperlink" Target="http://www.sec.gov/Archives/edgar/data/1830072/000168316825007681/ipower_ex0301.htm" TargetMode="External"/><Relationship Id="rId16" Type="http://schemas.openxmlformats.org/officeDocument/2006/relationships/hyperlink" Target="http://www.sec.gov/Archives/edgar/data/1830072/000168316825004403/ipower_ex0301.htm" TargetMode="External"/><Relationship Id="rId17" Type="http://schemas.openxmlformats.org/officeDocument/2006/relationships/hyperlink" Target="http://www.sec.gov/Archives/edgar/data/1830072/000168316826004228/ipower_ex0301.htm" TargetMode="External"/><Relationship Id="rId18" Type="http://schemas.openxmlformats.org/officeDocument/2006/relationships/hyperlink" Target="http://www.sec.gov/Archives/edgar/data/1830072/000168316826005967/ipower_ex0301.htm" TargetMode="External"/><Relationship Id="rId19" Type="http://schemas.openxmlformats.org/officeDocument/2006/relationships/hyperlink" Target="http://www.sec.gov/Archives/edgar/data/1830072/000168316821001556/ipower_ex0303.htm" TargetMode="External"/><Relationship Id="rId20" Type="http://schemas.openxmlformats.org/officeDocument/2006/relationships/hyperlink" Target="http://www.sec.gov/Archives/edgar/data/1830072/000168316821000335/ipower_ex0401.htm" TargetMode="External"/><Relationship Id="rId21" Type="http://schemas.openxmlformats.org/officeDocument/2006/relationships/hyperlink" Target="http://www.sec.gov/Archives/edgar/data/1830072/000168316824004323/ipower_ex0401.htm" TargetMode="External"/><Relationship Id="rId22" Type="http://schemas.openxmlformats.org/officeDocument/2006/relationships/hyperlink" Target="http://www.sec.gov/Archives/edgar/data/1830072/000168316825009331/ipower_ex0401.htm" TargetMode="External"/><Relationship Id="rId23" Type="http://schemas.openxmlformats.org/officeDocument/2006/relationships/hyperlink" Target="http://www.sec.gov/Archives/edgar/data/1830072/000168316825009331/ipower_ex0402.htm" TargetMode="External"/><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23284</Words>
  <Characters>123288</Characters>
  <CharactersWithSpaces>147288</CharactersWithSpaces>
  <Paragraphs>2687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